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69550" w14:textId="043E2B04" w:rsidR="00CA16E3" w:rsidRDefault="00CA16E3" w:rsidP="00DC3492">
      <w:pPr>
        <w:jc w:val="center"/>
        <w:rPr>
          <w:b/>
        </w:rPr>
      </w:pPr>
      <w:r w:rsidRPr="005A0D2A">
        <w:rPr>
          <w:b/>
        </w:rPr>
        <w:t xml:space="preserve">Meeting Note: Funder Roundtable on </w:t>
      </w:r>
      <w:r>
        <w:rPr>
          <w:b/>
        </w:rPr>
        <w:t>Fighting Corruption</w:t>
      </w:r>
      <w:r>
        <w:rPr>
          <w:b/>
        </w:rPr>
        <w:br/>
      </w:r>
      <w:r>
        <w:t>1</w:t>
      </w:r>
      <w:r w:rsidR="0015066A">
        <w:t>9</w:t>
      </w:r>
      <w:r w:rsidR="0015066A" w:rsidRPr="0015066A">
        <w:rPr>
          <w:vertAlign w:val="superscript"/>
        </w:rPr>
        <w:t>th</w:t>
      </w:r>
      <w:r w:rsidR="0015066A">
        <w:t xml:space="preserve"> </w:t>
      </w:r>
      <w:r>
        <w:t>June</w:t>
      </w:r>
      <w:r w:rsidRPr="005A0D2A">
        <w:t xml:space="preserve"> 2020</w:t>
      </w:r>
    </w:p>
    <w:p w14:paraId="30AAFAC0" w14:textId="77777777" w:rsidR="00CA16E3" w:rsidRPr="005A0D2A" w:rsidRDefault="00CA16E3" w:rsidP="00DC3492">
      <w:pPr>
        <w:jc w:val="center"/>
        <w:rPr>
          <w:b/>
          <w:sz w:val="30"/>
          <w:szCs w:val="30"/>
        </w:rPr>
      </w:pPr>
    </w:p>
    <w:p w14:paraId="2A6265AD" w14:textId="77777777" w:rsidR="00CA16E3" w:rsidRPr="005A0D2A" w:rsidRDefault="00CA16E3" w:rsidP="00DC3492">
      <w:pPr>
        <w:spacing w:after="60"/>
        <w:rPr>
          <w:b/>
        </w:rPr>
      </w:pPr>
      <w:r w:rsidRPr="005A0D2A">
        <w:rPr>
          <w:b/>
        </w:rPr>
        <w:t>1. Introduction</w:t>
      </w:r>
    </w:p>
    <w:p w14:paraId="39E69B4F" w14:textId="28E29EA8" w:rsidR="00CA16E3" w:rsidRDefault="00CA16E3" w:rsidP="00DC3492">
      <w:r>
        <w:t>On 12</w:t>
      </w:r>
      <w:r w:rsidRPr="00CA16E3">
        <w:rPr>
          <w:vertAlign w:val="superscript"/>
        </w:rPr>
        <w:t>th</w:t>
      </w:r>
      <w:r>
        <w:t xml:space="preserve"> June 2020, the Joffe Charitable Trust and the John Ellerman Foundation convened a roundtable for funders on UK civil society work to fight corruption. </w:t>
      </w:r>
      <w:r w:rsidR="009972AA">
        <w:t>11</w:t>
      </w:r>
      <w:r>
        <w:t xml:space="preserve"> funders participated (see Annex 1). The objectives of the roundtable were</w:t>
      </w:r>
      <w:r w:rsidRPr="00CA16E3">
        <w:t xml:space="preserve"> </w:t>
      </w:r>
      <w:r w:rsidR="00DC3492">
        <w:t>t</w:t>
      </w:r>
      <w:r w:rsidRPr="005A0D2A">
        <w:t xml:space="preserve">o explore the </w:t>
      </w:r>
      <w:r w:rsidR="001824E9">
        <w:t xml:space="preserve">current </w:t>
      </w:r>
      <w:r w:rsidRPr="005A0D2A">
        <w:t xml:space="preserve">case for </w:t>
      </w:r>
      <w:r>
        <w:t>anti-corruption work</w:t>
      </w:r>
      <w:r w:rsidRPr="005A0D2A">
        <w:t xml:space="preserve"> i</w:t>
      </w:r>
      <w:r w:rsidR="00DC3492">
        <w:t xml:space="preserve">n the UK, and </w:t>
      </w:r>
      <w:r w:rsidRPr="005A0D2A">
        <w:t>identify common ground with funders’ strategic priorities.</w:t>
      </w:r>
    </w:p>
    <w:p w14:paraId="5FC3EB49" w14:textId="77777777" w:rsidR="00DC3492" w:rsidRPr="005A0D2A" w:rsidRDefault="00DC3492" w:rsidP="00DC3492"/>
    <w:p w14:paraId="5EE10861" w14:textId="0E295E22" w:rsidR="00CA16E3" w:rsidRDefault="00CA16E3" w:rsidP="001824E9">
      <w:r w:rsidRPr="005A0D2A">
        <w:t xml:space="preserve">A short </w:t>
      </w:r>
      <w:hyperlink r:id="rId8" w:history="1">
        <w:r w:rsidRPr="0015066A">
          <w:rPr>
            <w:rStyle w:val="Hyperlink"/>
          </w:rPr>
          <w:t>briefing note</w:t>
        </w:r>
      </w:hyperlink>
      <w:r w:rsidR="001824E9">
        <w:t xml:space="preserve"> </w:t>
      </w:r>
      <w:r w:rsidRPr="005A0D2A">
        <w:t>was circulated in advance</w:t>
      </w:r>
      <w:r w:rsidR="0015066A">
        <w:t>, with a state-of-the-art analysis of the strategic issues</w:t>
      </w:r>
      <w:r w:rsidRPr="005A0D2A">
        <w:t xml:space="preserve">. Participants were </w:t>
      </w:r>
      <w:r w:rsidR="001824E9">
        <w:t xml:space="preserve">enthusiastic about working more effectively in this area, and </w:t>
      </w:r>
      <w:r>
        <w:t>the links between</w:t>
      </w:r>
      <w:r w:rsidRPr="005A0D2A">
        <w:t xml:space="preserve"> </w:t>
      </w:r>
      <w:r w:rsidR="00D22991">
        <w:t>fighting corruption</w:t>
      </w:r>
      <w:r w:rsidRPr="005A0D2A">
        <w:t xml:space="preserve"> </w:t>
      </w:r>
      <w:r>
        <w:t>and</w:t>
      </w:r>
      <w:r w:rsidRPr="005A0D2A">
        <w:t xml:space="preserve"> economic, climate and social justice.</w:t>
      </w:r>
      <w:r w:rsidR="00D22991">
        <w:t xml:space="preserve"> They </w:t>
      </w:r>
      <w:r w:rsidR="001824E9">
        <w:t>recognised</w:t>
      </w:r>
      <w:r w:rsidR="00D22991">
        <w:t xml:space="preserve"> the scale of the issues, the current risks from C-19 and Brexit</w:t>
      </w:r>
      <w:r w:rsidR="009972AA">
        <w:t xml:space="preserve"> </w:t>
      </w:r>
      <w:r w:rsidR="00D22991">
        <w:t>and the potential for progress.</w:t>
      </w:r>
    </w:p>
    <w:p w14:paraId="5A20B2F1" w14:textId="77777777" w:rsidR="00D22991" w:rsidRDefault="00D22991" w:rsidP="00DC3492">
      <w:pPr>
        <w:rPr>
          <w:b/>
        </w:rPr>
      </w:pPr>
    </w:p>
    <w:p w14:paraId="1421014D" w14:textId="2F2A5242" w:rsidR="00CA16E3" w:rsidRPr="00DC3492" w:rsidRDefault="00CA16E3" w:rsidP="00DC3492">
      <w:pPr>
        <w:spacing w:after="60"/>
        <w:rPr>
          <w:b/>
        </w:rPr>
      </w:pPr>
      <w:r w:rsidRPr="00CA16E3">
        <w:rPr>
          <w:b/>
        </w:rPr>
        <w:t>2. Presentations</w:t>
      </w:r>
    </w:p>
    <w:p w14:paraId="7687209C" w14:textId="05A273F7" w:rsidR="00D168AB" w:rsidRPr="00DC3492" w:rsidRDefault="00CA16E3" w:rsidP="00DC3492">
      <w:pPr>
        <w:spacing w:after="60"/>
        <w:rPr>
          <w:i/>
        </w:rPr>
      </w:pPr>
      <w:r w:rsidRPr="00D168AB">
        <w:rPr>
          <w:i/>
        </w:rPr>
        <w:t xml:space="preserve">2.1 Sue </w:t>
      </w:r>
      <w:r w:rsidR="00D168AB" w:rsidRPr="00D168AB">
        <w:rPr>
          <w:i/>
        </w:rPr>
        <w:t>Hawley</w:t>
      </w:r>
      <w:r w:rsidR="004D722D">
        <w:rPr>
          <w:i/>
        </w:rPr>
        <w:t>, Spotlight on Corruption</w:t>
      </w:r>
      <w:r w:rsidR="00D168AB" w:rsidRPr="00D168AB">
        <w:rPr>
          <w:i/>
        </w:rPr>
        <w:t>: The big picture</w:t>
      </w:r>
    </w:p>
    <w:p w14:paraId="38FAFF27" w14:textId="018952C4" w:rsidR="00D168AB" w:rsidRDefault="00D168AB" w:rsidP="00DC3492">
      <w:pPr>
        <w:pStyle w:val="ListParagraph"/>
        <w:numPr>
          <w:ilvl w:val="0"/>
          <w:numId w:val="2"/>
        </w:numPr>
      </w:pPr>
      <w:r>
        <w:t xml:space="preserve">The case of Isabel dos Santos, earlier this year, illustrates the UK’s role. The daughter of Angola’s </w:t>
      </w:r>
      <w:r w:rsidR="00085D3F">
        <w:t xml:space="preserve">former </w:t>
      </w:r>
      <w:r>
        <w:t>president, she amassed a fortune of $2.2bn and is now being investigated for corruption. She lives in London. Many UK organisations supported &amp; benefitted from her, e.g. professional service firms, PR companies, elite schools. These funds could have lifted millions of Angolans out of poverty.</w:t>
      </w:r>
    </w:p>
    <w:p w14:paraId="101B4606" w14:textId="44CEE830" w:rsidR="00D168AB" w:rsidRDefault="00D168AB" w:rsidP="00DC3492">
      <w:pPr>
        <w:pStyle w:val="ListParagraph"/>
        <w:numPr>
          <w:ilvl w:val="0"/>
          <w:numId w:val="2"/>
        </w:numPr>
      </w:pPr>
      <w:r>
        <w:t xml:space="preserve">The current C-19 crisis presents three major risks to fighting corruption in the UK: (a) the UK could become a “Singapore on Thames’, i.e. a deregulated tax haven, through initiatives like Freeports, (b) recent gains could be reversed, like transparency on company ownership, (c) new forms of corruption </w:t>
      </w:r>
      <w:r w:rsidR="00E32F6B">
        <w:t xml:space="preserve">could </w:t>
      </w:r>
      <w:r>
        <w:t>spring up, including political corruption.</w:t>
      </w:r>
    </w:p>
    <w:p w14:paraId="015A1945" w14:textId="5368C357" w:rsidR="00D168AB" w:rsidRDefault="00D168AB" w:rsidP="00DC3492">
      <w:pPr>
        <w:pStyle w:val="ListParagraph"/>
        <w:numPr>
          <w:ilvl w:val="0"/>
          <w:numId w:val="2"/>
        </w:numPr>
      </w:pPr>
      <w:r>
        <w:t>Tackling corruption is not an optional extra. It</w:t>
      </w:r>
      <w:r w:rsidR="00E32F6B">
        <w:t xml:space="preserve"> i</w:t>
      </w:r>
      <w:r>
        <w:t xml:space="preserve">s at the core </w:t>
      </w:r>
      <w:r w:rsidR="004D722D">
        <w:t>of how we rebuild our economies, so they are fair, effective and inclusive.</w:t>
      </w:r>
    </w:p>
    <w:p w14:paraId="78880B4F" w14:textId="77777777" w:rsidR="004D722D" w:rsidRDefault="004D722D" w:rsidP="00DC3492"/>
    <w:p w14:paraId="69704D11" w14:textId="444770DE" w:rsidR="004D722D" w:rsidRPr="00DC3492" w:rsidRDefault="004D722D" w:rsidP="00DC3492">
      <w:pPr>
        <w:spacing w:after="60"/>
        <w:rPr>
          <w:i/>
        </w:rPr>
      </w:pPr>
      <w:r w:rsidRPr="004D722D">
        <w:rPr>
          <w:i/>
        </w:rPr>
        <w:t>2.2 Rachel Davies, Transparency International: Current priorities</w:t>
      </w:r>
    </w:p>
    <w:p w14:paraId="144986A8" w14:textId="1D6119BC" w:rsidR="004D722D" w:rsidRDefault="004D722D" w:rsidP="00DC3492">
      <w:pPr>
        <w:pStyle w:val="ListParagraph"/>
        <w:numPr>
          <w:ilvl w:val="0"/>
          <w:numId w:val="2"/>
        </w:numPr>
      </w:pPr>
      <w:r>
        <w:t>The C-19 crisis creates new opportunities for corruption, with more emergency funding &amp; fewer checks. UKACC has identified three current priorities:</w:t>
      </w:r>
    </w:p>
    <w:p w14:paraId="63BF89B6" w14:textId="31250901" w:rsidR="004D722D" w:rsidRDefault="004D722D" w:rsidP="00DC3492">
      <w:pPr>
        <w:pStyle w:val="ListParagraph"/>
        <w:numPr>
          <w:ilvl w:val="1"/>
          <w:numId w:val="3"/>
        </w:numPr>
      </w:pPr>
      <w:r>
        <w:t xml:space="preserve">Addressing the UK’s role as a safe haven for corrupt money around the world. This includes </w:t>
      </w:r>
      <w:r w:rsidR="00085D3F">
        <w:t xml:space="preserve">detecting funds, the legal architecture and </w:t>
      </w:r>
      <w:r>
        <w:t>challenging the role of the UK professions.</w:t>
      </w:r>
    </w:p>
    <w:p w14:paraId="4612EB2D" w14:textId="008C98D1" w:rsidR="004D722D" w:rsidRDefault="004D722D" w:rsidP="00DC3492">
      <w:pPr>
        <w:pStyle w:val="ListParagraph"/>
        <w:numPr>
          <w:ilvl w:val="1"/>
          <w:numId w:val="3"/>
        </w:numPr>
      </w:pPr>
      <w:r>
        <w:t>Maintaining &amp; strengthening the UK’s anti-corruption standards. E.g. the government’s work on tackling corruption in sectors like extracti</w:t>
      </w:r>
      <w:r w:rsidR="00E32F6B">
        <w:t>ves, housing, local government and</w:t>
      </w:r>
      <w:r>
        <w:t xml:space="preserve"> the influence of vested interests in UK politics.</w:t>
      </w:r>
    </w:p>
    <w:p w14:paraId="5ED4F1F1" w14:textId="6704EE00" w:rsidR="004D722D" w:rsidRDefault="004D722D" w:rsidP="00DC3492">
      <w:pPr>
        <w:pStyle w:val="ListParagraph"/>
        <w:numPr>
          <w:ilvl w:val="1"/>
          <w:numId w:val="3"/>
        </w:numPr>
      </w:pPr>
      <w:r>
        <w:t>Procurement.</w:t>
      </w:r>
      <w:r w:rsidR="006658D6">
        <w:t xml:space="preserve"> Ensuring transparency &amp; probity around government’s C-19 related procurement.</w:t>
      </w:r>
    </w:p>
    <w:p w14:paraId="134C0914" w14:textId="77777777" w:rsidR="006658D6" w:rsidRDefault="006658D6" w:rsidP="00DC3492"/>
    <w:p w14:paraId="2A52872A" w14:textId="03C1DFF3" w:rsidR="00D168AB" w:rsidRPr="00DC3492" w:rsidRDefault="006658D6" w:rsidP="00DC3492">
      <w:pPr>
        <w:spacing w:after="60"/>
        <w:rPr>
          <w:i/>
        </w:rPr>
      </w:pPr>
      <w:r w:rsidRPr="006658D6">
        <w:rPr>
          <w:i/>
        </w:rPr>
        <w:t xml:space="preserve">2.3 Robert Barrington, Centre for the Study of Corruption: the </w:t>
      </w:r>
      <w:r>
        <w:rPr>
          <w:i/>
        </w:rPr>
        <w:t>anti-corruption</w:t>
      </w:r>
      <w:r w:rsidRPr="006658D6">
        <w:rPr>
          <w:i/>
        </w:rPr>
        <w:t xml:space="preserve"> </w:t>
      </w:r>
      <w:r>
        <w:rPr>
          <w:i/>
        </w:rPr>
        <w:t>movement</w:t>
      </w:r>
    </w:p>
    <w:p w14:paraId="5A5A86BC" w14:textId="77777777" w:rsidR="006658D6" w:rsidRDefault="006658D6" w:rsidP="00DC3492">
      <w:pPr>
        <w:pStyle w:val="ListParagraph"/>
        <w:numPr>
          <w:ilvl w:val="0"/>
          <w:numId w:val="3"/>
        </w:numPr>
      </w:pPr>
      <w:r>
        <w:t xml:space="preserve">The anti-corruption movement dates from 1990. In 2010, the UK Bribery Act had a galvanising effect, leading to the emergence of some new players. </w:t>
      </w:r>
    </w:p>
    <w:p w14:paraId="4447B19C" w14:textId="56C91380" w:rsidR="006658D6" w:rsidRDefault="006658D6" w:rsidP="00BF5229">
      <w:pPr>
        <w:pStyle w:val="ListParagraph"/>
        <w:numPr>
          <w:ilvl w:val="0"/>
          <w:numId w:val="3"/>
        </w:numPr>
      </w:pPr>
      <w:bookmarkStart w:id="0" w:name="_GoBack"/>
      <w:r>
        <w:t xml:space="preserve">The UKACC now has 18 members, </w:t>
      </w:r>
      <w:r w:rsidR="00085D3F">
        <w:t xml:space="preserve">mostly small though </w:t>
      </w:r>
      <w:r>
        <w:t xml:space="preserve">including organisations like Oxfam. </w:t>
      </w:r>
      <w:r w:rsidR="00BF5229">
        <w:t xml:space="preserve">They engage at different levels and, for many, corruption is one of a range of </w:t>
      </w:r>
      <w:r w:rsidR="00BF5229">
        <w:lastRenderedPageBreak/>
        <w:t>issues they focus on.</w:t>
      </w:r>
      <w:r>
        <w:t xml:space="preserve"> </w:t>
      </w:r>
      <w:r w:rsidR="00BF5229">
        <w:t>In total, they spend about</w:t>
      </w:r>
      <w:r>
        <w:t xml:space="preserve"> £4-5m pa on UK work.</w:t>
      </w:r>
      <w:r w:rsidR="0090076A">
        <w:t xml:space="preserve"> </w:t>
      </w:r>
      <w:r w:rsidR="00E32F6B">
        <w:t>Th</w:t>
      </w:r>
      <w:r w:rsidR="00BF5229">
        <w:t>e</w:t>
      </w:r>
      <w:r w:rsidR="0090076A">
        <w:t xml:space="preserve"> movement is totally outgunned and outresourced by the opposition, e.g. hard right think tanks and campaigners.</w:t>
      </w:r>
    </w:p>
    <w:p w14:paraId="60219C98" w14:textId="36F680A4" w:rsidR="0090076A" w:rsidRDefault="0090076A" w:rsidP="00DC3492">
      <w:pPr>
        <w:pStyle w:val="ListParagraph"/>
        <w:numPr>
          <w:ilvl w:val="0"/>
          <w:numId w:val="3"/>
        </w:numPr>
      </w:pPr>
      <w:r>
        <w:t xml:space="preserve">Its weaknesses include: holes in coverage of the issues, e.g. domestic corruption &amp; the devolved authorities; limited popular traction; scope to strengthen relationships with other causes; </w:t>
      </w:r>
      <w:r w:rsidR="00BF5229">
        <w:t>varying levels of capacity and sustainability</w:t>
      </w:r>
      <w:r>
        <w:t>.</w:t>
      </w:r>
    </w:p>
    <w:bookmarkEnd w:id="0"/>
    <w:p w14:paraId="52D45196" w14:textId="4AFC29F5" w:rsidR="0090076A" w:rsidRDefault="0090076A" w:rsidP="00DC3492">
      <w:pPr>
        <w:pStyle w:val="ListParagraph"/>
        <w:numPr>
          <w:ilvl w:val="0"/>
          <w:numId w:val="3"/>
        </w:numPr>
      </w:pPr>
      <w:r>
        <w:t>Its strengths include: quality of the people; good cooperation among groups; strong track record; high level of access &amp; influence; organisations are agile and responsive. Overall, the movement punches above its weight.</w:t>
      </w:r>
    </w:p>
    <w:p w14:paraId="447C6210" w14:textId="77777777" w:rsidR="0090076A" w:rsidRDefault="0090076A" w:rsidP="00DC3492"/>
    <w:p w14:paraId="68D0A713" w14:textId="3FB924F3" w:rsidR="0090076A" w:rsidRPr="00DC3492" w:rsidRDefault="0090076A" w:rsidP="00DC3492">
      <w:pPr>
        <w:spacing w:after="60"/>
        <w:rPr>
          <w:b/>
        </w:rPr>
      </w:pPr>
      <w:r w:rsidRPr="0090076A">
        <w:rPr>
          <w:b/>
        </w:rPr>
        <w:t>3. Discussion</w:t>
      </w:r>
    </w:p>
    <w:p w14:paraId="7FFE884D" w14:textId="46E274DE" w:rsidR="00811D1F" w:rsidRDefault="00811D1F" w:rsidP="00897ABD">
      <w:pPr>
        <w:pStyle w:val="ListParagraph"/>
        <w:numPr>
          <w:ilvl w:val="0"/>
          <w:numId w:val="4"/>
        </w:numPr>
      </w:pPr>
      <w:r>
        <w:t xml:space="preserve">Participants recognised </w:t>
      </w:r>
      <w:r w:rsidR="00265FE0">
        <w:t>that fighting corruption i</w:t>
      </w:r>
      <w:r>
        <w:t xml:space="preserve">s </w:t>
      </w:r>
      <w:r w:rsidR="00377567">
        <w:t xml:space="preserve">a central issue </w:t>
      </w:r>
      <w:r w:rsidR="00265FE0">
        <w:t>in ensuring that government works for public benefit, rather than private interests. Corruption undermines the social and economic issues that foundations work on</w:t>
      </w:r>
      <w:r w:rsidR="001A1CA5">
        <w:t xml:space="preserve"> and the Sustainable Development Goals</w:t>
      </w:r>
      <w:r w:rsidR="00265FE0">
        <w:t>. Participants</w:t>
      </w:r>
      <w:r>
        <w:t xml:space="preserve"> were enthusiastic about finding practical ways of tackling the role the UK plays</w:t>
      </w:r>
      <w:r w:rsidR="00265FE0">
        <w:t xml:space="preserve"> internationally</w:t>
      </w:r>
      <w:r>
        <w:t xml:space="preserve">. </w:t>
      </w:r>
    </w:p>
    <w:p w14:paraId="265C143C" w14:textId="413D2E03" w:rsidR="0090076A" w:rsidRDefault="0090076A" w:rsidP="00897ABD">
      <w:pPr>
        <w:pStyle w:val="ListParagraph"/>
        <w:numPr>
          <w:ilvl w:val="0"/>
          <w:numId w:val="4"/>
        </w:numPr>
      </w:pPr>
      <w:r>
        <w:t xml:space="preserve">In the UK, we tend not to be big stealers of money, but great launderers. By </w:t>
      </w:r>
      <w:r w:rsidR="00265FE0">
        <w:t>and</w:t>
      </w:r>
      <w:r>
        <w:t xml:space="preserve"> large firms operate within the law, push</w:t>
      </w:r>
      <w:r w:rsidR="00046C06">
        <w:t>ing</w:t>
      </w:r>
      <w:r>
        <w:t xml:space="preserve"> the limits. This includes professional service firms and companies based </w:t>
      </w:r>
      <w:r w:rsidR="00046C06">
        <w:t>in the UK</w:t>
      </w:r>
      <w:r>
        <w:t xml:space="preserve">. However, the laws are weak in key areas, like corporate liability and lobbying. Large companies cannot be prosecuted effectively and </w:t>
      </w:r>
      <w:r w:rsidR="00085D3F">
        <w:t>appear to be</w:t>
      </w:r>
      <w:r>
        <w:t xml:space="preserve"> above the law.  Commercial interests are closely involved in writing </w:t>
      </w:r>
      <w:r w:rsidR="00265FE0">
        <w:t>and</w:t>
      </w:r>
      <w:r>
        <w:t xml:space="preserve"> </w:t>
      </w:r>
      <w:r w:rsidR="00811D1F">
        <w:t>shaping</w:t>
      </w:r>
      <w:r>
        <w:t xml:space="preserve"> the law.</w:t>
      </w:r>
    </w:p>
    <w:p w14:paraId="5BFEF4F0" w14:textId="30DA4855" w:rsidR="00811D1F" w:rsidRDefault="00046C06" w:rsidP="00897ABD">
      <w:pPr>
        <w:pStyle w:val="ListParagraph"/>
        <w:numPr>
          <w:ilvl w:val="0"/>
          <w:numId w:val="4"/>
        </w:numPr>
      </w:pPr>
      <w:r>
        <w:t xml:space="preserve">Domestic enforcement agencies have </w:t>
      </w:r>
      <w:r w:rsidR="00811D1F">
        <w:t xml:space="preserve">recently </w:t>
      </w:r>
      <w:r>
        <w:t xml:space="preserve">faced dramatic budget cuts. </w:t>
      </w:r>
      <w:r w:rsidR="00811D1F">
        <w:t>T</w:t>
      </w:r>
      <w:r>
        <w:t xml:space="preserve">he Serious Fraud Office is up against the best paid lawyers in the UK. </w:t>
      </w:r>
      <w:r w:rsidR="00E32F6B">
        <w:t>But</w:t>
      </w:r>
      <w:r>
        <w:t xml:space="preserve"> salaries are </w:t>
      </w:r>
      <w:r w:rsidR="00E32F6B">
        <w:t>low</w:t>
      </w:r>
      <w:r>
        <w:t xml:space="preserve"> </w:t>
      </w:r>
      <w:r w:rsidR="00265FE0">
        <w:t>and</w:t>
      </w:r>
      <w:r>
        <w:t xml:space="preserve"> they are heavily criticised whenever they lose, draining morale. Our enforcement effort is fragmented across 66 different agencies and police forces.</w:t>
      </w:r>
      <w:r w:rsidR="00811D1F" w:rsidRPr="00811D1F">
        <w:t xml:space="preserve"> </w:t>
      </w:r>
    </w:p>
    <w:p w14:paraId="5F078882" w14:textId="70AB313E" w:rsidR="00811D1F" w:rsidRDefault="00D22991" w:rsidP="00897ABD">
      <w:pPr>
        <w:pStyle w:val="ListParagraph"/>
        <w:numPr>
          <w:ilvl w:val="0"/>
          <w:numId w:val="4"/>
        </w:numPr>
      </w:pPr>
      <w:r>
        <w:t>How can political will be strengthened to tackle corruption? T</w:t>
      </w:r>
      <w:r w:rsidR="00811D1F">
        <w:t>here should be ways of framing corruption for the influential Red Wall Voters, who are interested in rules &amp; fair play.</w:t>
      </w:r>
    </w:p>
    <w:p w14:paraId="74D4D9E4" w14:textId="77777777" w:rsidR="008232CF" w:rsidRDefault="008232CF" w:rsidP="00DC3492">
      <w:pPr>
        <w:rPr>
          <w:b/>
        </w:rPr>
      </w:pPr>
    </w:p>
    <w:p w14:paraId="717F0745" w14:textId="0A0AE729" w:rsidR="008232CF" w:rsidRPr="00DC3492" w:rsidRDefault="008232CF" w:rsidP="00DC3492">
      <w:pPr>
        <w:spacing w:after="60"/>
        <w:rPr>
          <w:b/>
        </w:rPr>
      </w:pPr>
      <w:r w:rsidRPr="008232CF">
        <w:rPr>
          <w:b/>
        </w:rPr>
        <w:t xml:space="preserve">4. </w:t>
      </w:r>
      <w:r w:rsidR="00447E47">
        <w:rPr>
          <w:b/>
        </w:rPr>
        <w:t>Next steps</w:t>
      </w:r>
    </w:p>
    <w:p w14:paraId="34960C53" w14:textId="49DB8037" w:rsidR="00811D1F" w:rsidRDefault="008232CF" w:rsidP="00897ABD">
      <w:pPr>
        <w:pStyle w:val="ListParagraph"/>
        <w:numPr>
          <w:ilvl w:val="0"/>
          <w:numId w:val="5"/>
        </w:numPr>
      </w:pPr>
      <w:r>
        <w:t>There was excitement about identifying specific goals that are achievable over the next 2 – 4 years, potentially across organisations. This could attract significant funding.</w:t>
      </w:r>
      <w:r w:rsidR="00811D1F" w:rsidRPr="00811D1F">
        <w:t xml:space="preserve"> </w:t>
      </w:r>
      <w:r w:rsidR="00D22991">
        <w:t>Could ‘sweet spots’ be identified, that resonate with domestic politics and are significant internationally?</w:t>
      </w:r>
    </w:p>
    <w:p w14:paraId="7B639CEC" w14:textId="77777777" w:rsidR="00811D1F" w:rsidRDefault="00811D1F" w:rsidP="00897ABD">
      <w:pPr>
        <w:pStyle w:val="ListParagraph"/>
        <w:numPr>
          <w:ilvl w:val="0"/>
          <w:numId w:val="5"/>
        </w:numPr>
      </w:pPr>
      <w:r>
        <w:t>There is an on-going need to invest in the anti-corruption field as a whole, including strengthening key organisations.</w:t>
      </w:r>
    </w:p>
    <w:p w14:paraId="5C4701A5" w14:textId="79AD3C92" w:rsidR="00811D1F" w:rsidRDefault="008232CF" w:rsidP="00897ABD">
      <w:pPr>
        <w:pStyle w:val="ListParagraph"/>
        <w:numPr>
          <w:ilvl w:val="0"/>
          <w:numId w:val="5"/>
        </w:numPr>
      </w:pPr>
      <w:r>
        <w:t>There are significant links betwee</w:t>
      </w:r>
      <w:r w:rsidR="00811D1F">
        <w:t xml:space="preserve">n corruption and climate </w:t>
      </w:r>
      <w:r w:rsidR="00265FE0">
        <w:t>justice</w:t>
      </w:r>
      <w:r w:rsidR="001A1CA5">
        <w:t>, trade deals and the UK’s wider role in the world</w:t>
      </w:r>
      <w:r w:rsidR="00811D1F">
        <w:t xml:space="preserve">. </w:t>
      </w:r>
      <w:r>
        <w:t>COP</w:t>
      </w:r>
      <w:r w:rsidR="00D22991">
        <w:t>26</w:t>
      </w:r>
      <w:r>
        <w:t xml:space="preserve"> </w:t>
      </w:r>
      <w:r w:rsidR="00811D1F">
        <w:t>is</w:t>
      </w:r>
      <w:r>
        <w:t xml:space="preserve"> an opportunity to focus attention on lobbying &amp; corporate influence on policy making.</w:t>
      </w:r>
      <w:r w:rsidR="001A1CA5">
        <w:t xml:space="preserve"> Corruption should be built into post Brexit trade deals and considered in the government’s Integrated Review.</w:t>
      </w:r>
    </w:p>
    <w:p w14:paraId="0EFE9509" w14:textId="794575E5" w:rsidR="008232CF" w:rsidRDefault="00811D1F" w:rsidP="00897ABD">
      <w:pPr>
        <w:pStyle w:val="ListParagraph"/>
        <w:numPr>
          <w:ilvl w:val="0"/>
          <w:numId w:val="5"/>
        </w:numPr>
      </w:pPr>
      <w:r>
        <w:t xml:space="preserve">It </w:t>
      </w:r>
      <w:r w:rsidR="00E32F6B">
        <w:t>could</w:t>
      </w:r>
      <w:r>
        <w:t xml:space="preserve"> be useful</w:t>
      </w:r>
      <w:r w:rsidR="008232CF">
        <w:t xml:space="preserve"> to understand why the anti-corruption </w:t>
      </w:r>
      <w:r>
        <w:t>movement</w:t>
      </w:r>
      <w:r w:rsidR="008232CF">
        <w:t xml:space="preserve"> is so collaborative and identify lessons for other fields. </w:t>
      </w:r>
    </w:p>
    <w:p w14:paraId="28238555" w14:textId="4485CC64" w:rsidR="00811D1F" w:rsidRDefault="00811D1F" w:rsidP="00897ABD">
      <w:pPr>
        <w:pStyle w:val="ListParagraph"/>
        <w:numPr>
          <w:ilvl w:val="0"/>
          <w:numId w:val="5"/>
        </w:numPr>
      </w:pPr>
      <w:r>
        <w:t>There was appetite</w:t>
      </w:r>
      <w:r w:rsidR="008232CF">
        <w:t xml:space="preserve"> to continue this conversation </w:t>
      </w:r>
      <w:r>
        <w:t>among</w:t>
      </w:r>
      <w:r w:rsidR="008232CF">
        <w:t xml:space="preserve"> funder</w:t>
      </w:r>
      <w:r>
        <w:t>s</w:t>
      </w:r>
      <w:r w:rsidR="008232CF">
        <w:t>, including the links between corruption and other social issues.</w:t>
      </w:r>
      <w:r>
        <w:t xml:space="preserve"> Could we encourage other funders to build a strand of work on corruption into their work? </w:t>
      </w:r>
    </w:p>
    <w:p w14:paraId="6000FF43" w14:textId="77777777" w:rsidR="00897ABD" w:rsidRDefault="00897ABD" w:rsidP="00897ABD"/>
    <w:p w14:paraId="7745BD98" w14:textId="77777777" w:rsidR="00897ABD" w:rsidRPr="005A0D2A" w:rsidRDefault="00897ABD" w:rsidP="00897ABD">
      <w:pPr>
        <w:spacing w:after="120"/>
        <w:rPr>
          <w:b/>
        </w:rPr>
      </w:pPr>
      <w:r>
        <w:br w:type="page"/>
      </w:r>
      <w:r w:rsidRPr="005A0D2A">
        <w:rPr>
          <w:b/>
        </w:rPr>
        <w:t>Annex 1: Participants</w:t>
      </w:r>
    </w:p>
    <w:p w14:paraId="49876AE0" w14:textId="77777777" w:rsidR="00897ABD" w:rsidRPr="005A0D2A" w:rsidRDefault="00897ABD" w:rsidP="00897ABD">
      <w:pPr>
        <w:spacing w:after="120"/>
      </w:pP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4961"/>
      </w:tblGrid>
      <w:tr w:rsidR="00897ABD" w:rsidRPr="005A0D2A" w14:paraId="48E20898" w14:textId="77777777" w:rsidTr="00897ABD"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6B1BFA8D" w14:textId="77777777" w:rsidR="00897ABD" w:rsidRPr="005A0D2A" w:rsidRDefault="00897ABD" w:rsidP="00897ABD">
            <w:pPr>
              <w:pStyle w:val="ListParagraph"/>
              <w:numPr>
                <w:ilvl w:val="0"/>
                <w:numId w:val="6"/>
              </w:numPr>
              <w:ind w:left="616" w:hanging="502"/>
            </w:pPr>
            <w:r w:rsidRPr="005A0D2A">
              <w:t>Alex Jacobs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B67D1A2" w14:textId="77777777" w:rsidR="00897ABD" w:rsidRPr="005A0D2A" w:rsidRDefault="00897ABD" w:rsidP="00897ABD">
            <w:pPr>
              <w:contextualSpacing/>
              <w:rPr>
                <w:rFonts w:eastAsiaTheme="minorHAnsi"/>
                <w:lang w:val="en-GB"/>
              </w:rPr>
            </w:pPr>
            <w:r w:rsidRPr="005A0D2A">
              <w:rPr>
                <w:rFonts w:eastAsiaTheme="minorHAnsi"/>
                <w:lang w:val="en-GB"/>
              </w:rPr>
              <w:t>Joffe Charitable Trust</w:t>
            </w:r>
          </w:p>
        </w:tc>
      </w:tr>
      <w:tr w:rsidR="00897ABD" w:rsidRPr="005A0D2A" w14:paraId="11E77A46" w14:textId="77777777" w:rsidTr="00897ABD"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227099C5" w14:textId="1613BD20" w:rsidR="00897ABD" w:rsidRPr="005A0D2A" w:rsidRDefault="00897ABD" w:rsidP="00897ABD">
            <w:pPr>
              <w:pStyle w:val="ListParagraph"/>
              <w:numPr>
                <w:ilvl w:val="0"/>
                <w:numId w:val="6"/>
              </w:numPr>
              <w:ind w:left="616" w:hanging="502"/>
            </w:pPr>
            <w:r w:rsidRPr="000720D8">
              <w:t>Ben Stewart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4C7D948" w14:textId="75A72F98" w:rsidR="00897ABD" w:rsidRPr="005A0D2A" w:rsidRDefault="00897ABD" w:rsidP="00897ABD">
            <w:pPr>
              <w:contextualSpacing/>
              <w:rPr>
                <w:rFonts w:eastAsiaTheme="minorHAnsi"/>
                <w:lang w:val="en-GB"/>
              </w:rPr>
            </w:pPr>
            <w:r w:rsidRPr="000720D8">
              <w:rPr>
                <w:rFonts w:eastAsiaTheme="minorHAnsi"/>
                <w:lang w:val="en-GB"/>
              </w:rPr>
              <w:t>Potter Foundation</w:t>
            </w:r>
          </w:p>
        </w:tc>
      </w:tr>
      <w:tr w:rsidR="00897ABD" w:rsidRPr="005A0D2A" w14:paraId="6C78242D" w14:textId="77777777" w:rsidTr="00897ABD"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784A7E1B" w14:textId="262CEC84" w:rsidR="00897ABD" w:rsidRPr="005A0D2A" w:rsidRDefault="00897ABD" w:rsidP="00897ABD">
            <w:pPr>
              <w:pStyle w:val="ListParagraph"/>
              <w:numPr>
                <w:ilvl w:val="0"/>
                <w:numId w:val="6"/>
              </w:numPr>
              <w:ind w:left="616" w:hanging="502"/>
            </w:pPr>
            <w:r w:rsidRPr="000720D8">
              <w:t>Helen Kersley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CD4D83B" w14:textId="0444F3BE" w:rsidR="00897ABD" w:rsidRPr="005A0D2A" w:rsidRDefault="00897ABD" w:rsidP="00897ABD">
            <w:pPr>
              <w:contextualSpacing/>
              <w:rPr>
                <w:rFonts w:eastAsiaTheme="minorHAnsi"/>
                <w:lang w:val="en-GB"/>
              </w:rPr>
            </w:pPr>
            <w:r w:rsidRPr="000720D8">
              <w:rPr>
                <w:rFonts w:eastAsiaTheme="minorHAnsi"/>
                <w:lang w:val="en-GB"/>
              </w:rPr>
              <w:t>Roddick Foundation</w:t>
            </w:r>
          </w:p>
        </w:tc>
      </w:tr>
      <w:tr w:rsidR="00897ABD" w:rsidRPr="005A0D2A" w14:paraId="41372BEC" w14:textId="77777777" w:rsidTr="00897ABD"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5810BCE5" w14:textId="247463AF" w:rsidR="00897ABD" w:rsidRPr="005A0D2A" w:rsidRDefault="00897ABD" w:rsidP="00897ABD">
            <w:pPr>
              <w:pStyle w:val="ListParagraph"/>
              <w:numPr>
                <w:ilvl w:val="0"/>
                <w:numId w:val="6"/>
              </w:numPr>
              <w:ind w:left="616" w:hanging="502"/>
            </w:pPr>
            <w:r w:rsidRPr="000720D8">
              <w:t>Ieva Kajokaite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52B826C" w14:textId="295AF294" w:rsidR="00897ABD" w:rsidRPr="005A0D2A" w:rsidRDefault="00897ABD" w:rsidP="00897ABD">
            <w:pPr>
              <w:contextualSpacing/>
              <w:rPr>
                <w:rFonts w:eastAsiaTheme="minorHAnsi"/>
                <w:lang w:val="en-GB"/>
              </w:rPr>
            </w:pPr>
            <w:r w:rsidRPr="000720D8">
              <w:rPr>
                <w:rFonts w:eastAsiaTheme="minorHAnsi"/>
                <w:lang w:val="en-GB"/>
              </w:rPr>
              <w:t>Funders Initiative for Civil Society</w:t>
            </w:r>
          </w:p>
        </w:tc>
      </w:tr>
      <w:tr w:rsidR="00897ABD" w:rsidRPr="005A0D2A" w14:paraId="7A349450" w14:textId="77777777" w:rsidTr="00897ABD"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7C9CC988" w14:textId="501CF0FA" w:rsidR="00897ABD" w:rsidRPr="005A0D2A" w:rsidRDefault="00897ABD" w:rsidP="00897ABD">
            <w:pPr>
              <w:pStyle w:val="ListParagraph"/>
              <w:numPr>
                <w:ilvl w:val="0"/>
                <w:numId w:val="6"/>
              </w:numPr>
              <w:ind w:left="616" w:hanging="502"/>
            </w:pPr>
            <w:r w:rsidRPr="000720D8">
              <w:t>Jon Cracknell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5EC6D94" w14:textId="4B1863D4" w:rsidR="00897ABD" w:rsidRPr="005A0D2A" w:rsidRDefault="00897ABD" w:rsidP="00897ABD">
            <w:pPr>
              <w:contextualSpacing/>
              <w:rPr>
                <w:rFonts w:eastAsiaTheme="minorHAnsi"/>
                <w:lang w:val="en-GB"/>
              </w:rPr>
            </w:pPr>
            <w:r w:rsidRPr="000720D8">
              <w:rPr>
                <w:rFonts w:eastAsiaTheme="minorHAnsi"/>
                <w:lang w:val="en-GB"/>
              </w:rPr>
              <w:t>JMG philanthropy</w:t>
            </w:r>
          </w:p>
        </w:tc>
      </w:tr>
      <w:tr w:rsidR="00897ABD" w:rsidRPr="005A0D2A" w14:paraId="5D90D51D" w14:textId="77777777" w:rsidTr="00897ABD"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4E2AC130" w14:textId="6A2B9F08" w:rsidR="00897ABD" w:rsidRPr="005A0D2A" w:rsidRDefault="00897ABD" w:rsidP="00897ABD">
            <w:pPr>
              <w:pStyle w:val="ListParagraph"/>
              <w:numPr>
                <w:ilvl w:val="0"/>
                <w:numId w:val="6"/>
              </w:numPr>
              <w:ind w:left="616" w:hanging="502"/>
            </w:pPr>
            <w:r w:rsidRPr="000720D8">
              <w:t>Mark de la Iglesia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9423FA7" w14:textId="389FEDB0" w:rsidR="00897ABD" w:rsidRPr="005A0D2A" w:rsidRDefault="00897ABD" w:rsidP="00897ABD">
            <w:pPr>
              <w:contextualSpacing/>
              <w:rPr>
                <w:rFonts w:eastAsiaTheme="minorHAnsi"/>
                <w:lang w:val="en-GB"/>
              </w:rPr>
            </w:pPr>
            <w:r w:rsidRPr="000720D8">
              <w:rPr>
                <w:rFonts w:eastAsiaTheme="minorHAnsi"/>
                <w:lang w:val="en-GB"/>
              </w:rPr>
              <w:t>Open Society Foundation</w:t>
            </w:r>
          </w:p>
        </w:tc>
      </w:tr>
      <w:tr w:rsidR="00897ABD" w:rsidRPr="005A0D2A" w14:paraId="05F23CCB" w14:textId="77777777" w:rsidTr="00897ABD"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184CA582" w14:textId="21FDB569" w:rsidR="00897ABD" w:rsidRPr="005A0D2A" w:rsidRDefault="00897ABD" w:rsidP="00897ABD">
            <w:pPr>
              <w:pStyle w:val="ListParagraph"/>
              <w:numPr>
                <w:ilvl w:val="0"/>
                <w:numId w:val="6"/>
              </w:numPr>
              <w:ind w:left="616" w:hanging="502"/>
            </w:pPr>
            <w:r w:rsidRPr="000720D8">
              <w:t>Max Tucker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F763C40" w14:textId="3B19C3A5" w:rsidR="00897ABD" w:rsidRPr="005A0D2A" w:rsidRDefault="00897ABD" w:rsidP="00897ABD">
            <w:pPr>
              <w:contextualSpacing/>
              <w:rPr>
                <w:rFonts w:eastAsiaTheme="minorHAnsi"/>
                <w:lang w:val="en-GB"/>
              </w:rPr>
            </w:pPr>
            <w:r w:rsidRPr="000720D8">
              <w:rPr>
                <w:rFonts w:eastAsiaTheme="minorHAnsi"/>
                <w:lang w:val="en-GB"/>
              </w:rPr>
              <w:t>Open Society Foundation</w:t>
            </w:r>
          </w:p>
        </w:tc>
      </w:tr>
      <w:tr w:rsidR="00897ABD" w:rsidRPr="005A0D2A" w14:paraId="1466243E" w14:textId="77777777" w:rsidTr="00897ABD"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3912ED8C" w14:textId="72B504C5" w:rsidR="00897ABD" w:rsidRPr="005A0D2A" w:rsidRDefault="00897ABD" w:rsidP="00897ABD">
            <w:pPr>
              <w:pStyle w:val="ListParagraph"/>
              <w:numPr>
                <w:ilvl w:val="0"/>
                <w:numId w:val="6"/>
              </w:numPr>
              <w:ind w:left="616" w:hanging="502"/>
            </w:pPr>
            <w:r w:rsidRPr="000720D8">
              <w:t>Michael Jarvis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62FD75F" w14:textId="755B5B2E" w:rsidR="00897ABD" w:rsidRPr="005A0D2A" w:rsidRDefault="00897ABD" w:rsidP="00897ABD">
            <w:pPr>
              <w:contextualSpacing/>
              <w:rPr>
                <w:rFonts w:eastAsiaTheme="minorHAnsi"/>
                <w:lang w:val="en-GB"/>
              </w:rPr>
            </w:pPr>
            <w:r w:rsidRPr="000720D8">
              <w:rPr>
                <w:rFonts w:eastAsiaTheme="minorHAnsi"/>
                <w:lang w:val="en-GB"/>
              </w:rPr>
              <w:t>Transparency &amp; Accountability Initiative</w:t>
            </w:r>
          </w:p>
        </w:tc>
      </w:tr>
      <w:tr w:rsidR="00897ABD" w:rsidRPr="005A0D2A" w14:paraId="719FE98D" w14:textId="77777777" w:rsidTr="00897ABD">
        <w:tc>
          <w:tcPr>
            <w:tcW w:w="3276" w:type="dxa"/>
            <w:shd w:val="clear" w:color="auto" w:fill="auto"/>
            <w:noWrap/>
            <w:vAlign w:val="bottom"/>
          </w:tcPr>
          <w:p w14:paraId="3B49B75D" w14:textId="1ECFB3B2" w:rsidR="00897ABD" w:rsidRPr="000720D8" w:rsidRDefault="00897ABD" w:rsidP="00897ABD">
            <w:pPr>
              <w:pStyle w:val="ListParagraph"/>
              <w:numPr>
                <w:ilvl w:val="0"/>
                <w:numId w:val="6"/>
              </w:numPr>
              <w:ind w:left="616" w:hanging="502"/>
            </w:pPr>
            <w:r w:rsidRPr="000720D8">
              <w:t>Myles Wickstead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14:paraId="160C5184" w14:textId="212D75AE" w:rsidR="00897ABD" w:rsidRPr="000720D8" w:rsidRDefault="00897ABD" w:rsidP="00897ABD">
            <w:pPr>
              <w:contextualSpacing/>
              <w:rPr>
                <w:rFonts w:eastAsiaTheme="minorHAnsi"/>
                <w:lang w:val="en-GB"/>
              </w:rPr>
            </w:pPr>
            <w:r w:rsidRPr="000720D8">
              <w:rPr>
                <w:rFonts w:eastAsiaTheme="minorHAnsi"/>
                <w:lang w:val="en-GB"/>
              </w:rPr>
              <w:t>Joffe Charitable Trust</w:t>
            </w:r>
          </w:p>
        </w:tc>
      </w:tr>
      <w:tr w:rsidR="00897ABD" w:rsidRPr="005A0D2A" w14:paraId="36BDAEE0" w14:textId="77777777" w:rsidTr="00897ABD"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2D891200" w14:textId="61114AFE" w:rsidR="00897ABD" w:rsidRPr="005A0D2A" w:rsidRDefault="00897ABD" w:rsidP="00897ABD">
            <w:pPr>
              <w:pStyle w:val="ListParagraph"/>
              <w:numPr>
                <w:ilvl w:val="0"/>
                <w:numId w:val="6"/>
              </w:numPr>
              <w:ind w:left="616" w:hanging="502"/>
            </w:pPr>
            <w:r w:rsidRPr="000720D8">
              <w:t>Paul Lenz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7E845BAB" w14:textId="3D55D121" w:rsidR="00897ABD" w:rsidRPr="005A0D2A" w:rsidRDefault="00897ABD" w:rsidP="00897ABD">
            <w:pPr>
              <w:contextualSpacing/>
              <w:rPr>
                <w:rFonts w:eastAsiaTheme="minorHAnsi"/>
                <w:lang w:val="en-GB"/>
              </w:rPr>
            </w:pPr>
            <w:r w:rsidRPr="000720D8">
              <w:rPr>
                <w:rFonts w:eastAsiaTheme="minorHAnsi"/>
                <w:lang w:val="en-GB"/>
              </w:rPr>
              <w:t>Indigo Trust</w:t>
            </w:r>
          </w:p>
        </w:tc>
      </w:tr>
      <w:tr w:rsidR="00897ABD" w:rsidRPr="005A0D2A" w14:paraId="58C008E5" w14:textId="77777777" w:rsidTr="00897ABD"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25EA95AD" w14:textId="0476D118" w:rsidR="00897ABD" w:rsidRPr="005A0D2A" w:rsidRDefault="00897ABD" w:rsidP="00897ABD">
            <w:pPr>
              <w:pStyle w:val="ListParagraph"/>
              <w:numPr>
                <w:ilvl w:val="0"/>
                <w:numId w:val="6"/>
              </w:numPr>
              <w:ind w:left="616" w:hanging="502"/>
            </w:pPr>
            <w:r w:rsidRPr="000720D8">
              <w:t>Sufina Ahmad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337CE092" w14:textId="015B21CF" w:rsidR="00897ABD" w:rsidRPr="005A0D2A" w:rsidRDefault="00897ABD" w:rsidP="00897ABD">
            <w:pPr>
              <w:contextualSpacing/>
              <w:rPr>
                <w:rFonts w:eastAsiaTheme="minorHAnsi"/>
                <w:lang w:val="en-GB"/>
              </w:rPr>
            </w:pPr>
            <w:r w:rsidRPr="000720D8">
              <w:rPr>
                <w:rFonts w:eastAsiaTheme="minorHAnsi"/>
                <w:lang w:val="en-GB"/>
              </w:rPr>
              <w:t>John Ellerman Foundation</w:t>
            </w:r>
          </w:p>
        </w:tc>
      </w:tr>
    </w:tbl>
    <w:p w14:paraId="44514BC0" w14:textId="77777777" w:rsidR="00897ABD" w:rsidRPr="005A0D2A" w:rsidRDefault="00897ABD" w:rsidP="00897ABD">
      <w:pPr>
        <w:spacing w:after="120"/>
      </w:pPr>
    </w:p>
    <w:p w14:paraId="7DD3D43F" w14:textId="77777777" w:rsidR="00897ABD" w:rsidRPr="005A0D2A" w:rsidRDefault="00897ABD" w:rsidP="00897ABD">
      <w:pPr>
        <w:spacing w:after="120"/>
      </w:pPr>
      <w:r w:rsidRPr="005A0D2A">
        <w:t>The roundtable was expertly facilitated by Rachael Clay and Jane Thurlow from Ethicore.</w:t>
      </w:r>
    </w:p>
    <w:p w14:paraId="0F6E3DA7" w14:textId="133FDA61" w:rsidR="00897ABD" w:rsidRDefault="00897ABD"/>
    <w:p w14:paraId="13A9833F" w14:textId="77777777" w:rsidR="00897ABD" w:rsidRDefault="00897ABD" w:rsidP="00897ABD"/>
    <w:sectPr w:rsidR="00897ABD" w:rsidSect="00E32F6B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72395" w14:textId="77777777" w:rsidR="00897ABD" w:rsidRDefault="00897ABD" w:rsidP="00897ABD">
      <w:r>
        <w:separator/>
      </w:r>
    </w:p>
  </w:endnote>
  <w:endnote w:type="continuationSeparator" w:id="0">
    <w:p w14:paraId="7D5D3E0B" w14:textId="77777777" w:rsidR="00897ABD" w:rsidRDefault="00897ABD" w:rsidP="0089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B133D" w14:textId="77777777" w:rsidR="00897ABD" w:rsidRDefault="00897ABD" w:rsidP="00897A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FD9648" w14:textId="77777777" w:rsidR="00897ABD" w:rsidRDefault="00897ABD" w:rsidP="00897AB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65A2" w14:textId="77777777" w:rsidR="00897ABD" w:rsidRPr="00897ABD" w:rsidRDefault="00897ABD" w:rsidP="00897ABD">
    <w:pPr>
      <w:pStyle w:val="Footer"/>
      <w:framePr w:wrap="around" w:vAnchor="text" w:hAnchor="margin" w:xAlign="right" w:y="1"/>
      <w:rPr>
        <w:rStyle w:val="PageNumber"/>
        <w:sz w:val="18"/>
      </w:rPr>
    </w:pPr>
    <w:r w:rsidRPr="00897ABD">
      <w:rPr>
        <w:rStyle w:val="PageNumber"/>
        <w:sz w:val="18"/>
      </w:rPr>
      <w:fldChar w:fldCharType="begin"/>
    </w:r>
    <w:r w:rsidRPr="00897ABD">
      <w:rPr>
        <w:rStyle w:val="PageNumber"/>
        <w:sz w:val="18"/>
      </w:rPr>
      <w:instrText xml:space="preserve">PAGE  </w:instrText>
    </w:r>
    <w:r w:rsidRPr="00897ABD">
      <w:rPr>
        <w:rStyle w:val="PageNumber"/>
        <w:sz w:val="18"/>
      </w:rPr>
      <w:fldChar w:fldCharType="separate"/>
    </w:r>
    <w:r w:rsidR="00BF5229">
      <w:rPr>
        <w:rStyle w:val="PageNumber"/>
        <w:noProof/>
        <w:sz w:val="18"/>
      </w:rPr>
      <w:t>1</w:t>
    </w:r>
    <w:r w:rsidRPr="00897ABD">
      <w:rPr>
        <w:rStyle w:val="PageNumber"/>
        <w:sz w:val="18"/>
      </w:rPr>
      <w:fldChar w:fldCharType="end"/>
    </w:r>
  </w:p>
  <w:p w14:paraId="72AD04A0" w14:textId="77777777" w:rsidR="00897ABD" w:rsidRDefault="00897ABD" w:rsidP="00897A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6F3CF" w14:textId="77777777" w:rsidR="00897ABD" w:rsidRDefault="00897ABD" w:rsidP="00897ABD">
      <w:r>
        <w:separator/>
      </w:r>
    </w:p>
  </w:footnote>
  <w:footnote w:type="continuationSeparator" w:id="0">
    <w:p w14:paraId="416A2E83" w14:textId="77777777" w:rsidR="00897ABD" w:rsidRDefault="00897ABD" w:rsidP="00897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783"/>
    <w:multiLevelType w:val="hybridMultilevel"/>
    <w:tmpl w:val="CAB2B100"/>
    <w:lvl w:ilvl="0" w:tplc="440CD34C">
      <w:start w:val="2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27445"/>
    <w:multiLevelType w:val="hybridMultilevel"/>
    <w:tmpl w:val="B8587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1320"/>
    <w:multiLevelType w:val="hybridMultilevel"/>
    <w:tmpl w:val="AB8E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462A4"/>
    <w:multiLevelType w:val="hybridMultilevel"/>
    <w:tmpl w:val="1434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3050A"/>
    <w:multiLevelType w:val="hybridMultilevel"/>
    <w:tmpl w:val="DEA87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F6055"/>
    <w:multiLevelType w:val="hybridMultilevel"/>
    <w:tmpl w:val="B3C4FC42"/>
    <w:lvl w:ilvl="0" w:tplc="440CD34C">
      <w:start w:val="2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E3"/>
    <w:rsid w:val="00046C06"/>
    <w:rsid w:val="000720D8"/>
    <w:rsid w:val="00085D3F"/>
    <w:rsid w:val="0015066A"/>
    <w:rsid w:val="001824E9"/>
    <w:rsid w:val="001A1CA5"/>
    <w:rsid w:val="00265FE0"/>
    <w:rsid w:val="00293E30"/>
    <w:rsid w:val="00377567"/>
    <w:rsid w:val="00447E47"/>
    <w:rsid w:val="004D722D"/>
    <w:rsid w:val="005E4888"/>
    <w:rsid w:val="006658D6"/>
    <w:rsid w:val="007033B6"/>
    <w:rsid w:val="00811D1F"/>
    <w:rsid w:val="008232CF"/>
    <w:rsid w:val="00896075"/>
    <w:rsid w:val="00897ABD"/>
    <w:rsid w:val="0090076A"/>
    <w:rsid w:val="009972AA"/>
    <w:rsid w:val="00BF5229"/>
    <w:rsid w:val="00CA16E3"/>
    <w:rsid w:val="00D168AB"/>
    <w:rsid w:val="00D22991"/>
    <w:rsid w:val="00DC3492"/>
    <w:rsid w:val="00E3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B8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6E3"/>
    <w:pPr>
      <w:ind w:left="720"/>
      <w:contextualSpacing/>
    </w:pPr>
    <w:rPr>
      <w:rFonts w:eastAsiaTheme="minorHAnsi"/>
      <w:lang w:val="en-GB"/>
    </w:rPr>
  </w:style>
  <w:style w:type="character" w:styleId="Hyperlink">
    <w:name w:val="Hyperlink"/>
    <w:basedOn w:val="DefaultParagraphFont"/>
    <w:uiPriority w:val="99"/>
    <w:unhideWhenUsed/>
    <w:rsid w:val="00CA16E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7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BD"/>
  </w:style>
  <w:style w:type="character" w:styleId="PageNumber">
    <w:name w:val="page number"/>
    <w:basedOn w:val="DefaultParagraphFont"/>
    <w:uiPriority w:val="99"/>
    <w:semiHidden/>
    <w:unhideWhenUsed/>
    <w:rsid w:val="00897ABD"/>
  </w:style>
  <w:style w:type="paragraph" w:styleId="Header">
    <w:name w:val="header"/>
    <w:basedOn w:val="Normal"/>
    <w:link w:val="HeaderChar"/>
    <w:uiPriority w:val="99"/>
    <w:unhideWhenUsed/>
    <w:rsid w:val="00897A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6E3"/>
    <w:pPr>
      <w:ind w:left="720"/>
      <w:contextualSpacing/>
    </w:pPr>
    <w:rPr>
      <w:rFonts w:eastAsiaTheme="minorHAnsi"/>
      <w:lang w:val="en-GB"/>
    </w:rPr>
  </w:style>
  <w:style w:type="character" w:styleId="Hyperlink">
    <w:name w:val="Hyperlink"/>
    <w:basedOn w:val="DefaultParagraphFont"/>
    <w:uiPriority w:val="99"/>
    <w:unhideWhenUsed/>
    <w:rsid w:val="00CA16E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7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BD"/>
  </w:style>
  <w:style w:type="character" w:styleId="PageNumber">
    <w:name w:val="page number"/>
    <w:basedOn w:val="DefaultParagraphFont"/>
    <w:uiPriority w:val="99"/>
    <w:semiHidden/>
    <w:unhideWhenUsed/>
    <w:rsid w:val="00897ABD"/>
  </w:style>
  <w:style w:type="paragraph" w:styleId="Header">
    <w:name w:val="header"/>
    <w:basedOn w:val="Normal"/>
    <w:link w:val="HeaderChar"/>
    <w:uiPriority w:val="99"/>
    <w:unhideWhenUsed/>
    <w:rsid w:val="00897A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joffetrust.org/anti-corruption-briefing-note-jun20-web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985</Words>
  <Characters>5620</Characters>
  <Application>Microsoft Macintosh Word</Application>
  <DocSecurity>0</DocSecurity>
  <Lines>46</Lines>
  <Paragraphs>13</Paragraphs>
  <ScaleCrop>false</ScaleCrop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Jacobs</dc:creator>
  <cp:keywords/>
  <dc:description/>
  <cp:lastModifiedBy>Alex Jacobs</cp:lastModifiedBy>
  <cp:revision>15</cp:revision>
  <dcterms:created xsi:type="dcterms:W3CDTF">2020-06-16T08:30:00Z</dcterms:created>
  <dcterms:modified xsi:type="dcterms:W3CDTF">2020-06-22T11:42:00Z</dcterms:modified>
</cp:coreProperties>
</file>