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16C1C" w14:textId="58CE3238" w:rsidR="00107092" w:rsidRDefault="003B1B1B" w:rsidP="005A0D2A">
      <w:pPr>
        <w:jc w:val="center"/>
        <w:rPr>
          <w:b/>
        </w:rPr>
      </w:pPr>
      <w:r w:rsidRPr="005A0D2A">
        <w:rPr>
          <w:b/>
        </w:rPr>
        <w:t>Meeting Note: Funder Roundtable on UK Tax Reform</w:t>
      </w:r>
      <w:r w:rsidR="005A0D2A">
        <w:rPr>
          <w:b/>
        </w:rPr>
        <w:br/>
      </w:r>
      <w:r w:rsidR="008E4B06">
        <w:t>2</w:t>
      </w:r>
      <w:r w:rsidR="008E4B06" w:rsidRPr="008E4B06">
        <w:rPr>
          <w:vertAlign w:val="superscript"/>
        </w:rPr>
        <w:t>nd</w:t>
      </w:r>
      <w:r w:rsidR="008E4B06">
        <w:t xml:space="preserve"> June</w:t>
      </w:r>
      <w:r w:rsidR="00AA0EA7" w:rsidRPr="005A0D2A">
        <w:t xml:space="preserve"> 2020</w:t>
      </w:r>
    </w:p>
    <w:p w14:paraId="184CA9EC" w14:textId="77777777" w:rsidR="005A0D2A" w:rsidRPr="005A0D2A" w:rsidRDefault="005A0D2A" w:rsidP="005A0D2A">
      <w:pPr>
        <w:jc w:val="center"/>
        <w:rPr>
          <w:b/>
          <w:sz w:val="30"/>
          <w:szCs w:val="30"/>
        </w:rPr>
      </w:pPr>
    </w:p>
    <w:p w14:paraId="6553B64A" w14:textId="66CD8783" w:rsidR="003B1B1B" w:rsidRPr="005A0D2A" w:rsidRDefault="00107092" w:rsidP="005A0D2A">
      <w:pPr>
        <w:spacing w:after="120"/>
        <w:rPr>
          <w:b/>
        </w:rPr>
      </w:pPr>
      <w:r w:rsidRPr="005A0D2A">
        <w:rPr>
          <w:b/>
        </w:rPr>
        <w:t xml:space="preserve">1. </w:t>
      </w:r>
      <w:r w:rsidR="003B1B1B" w:rsidRPr="005A0D2A">
        <w:rPr>
          <w:b/>
        </w:rPr>
        <w:t>Introduction</w:t>
      </w:r>
    </w:p>
    <w:p w14:paraId="578521D4" w14:textId="74BBD410" w:rsidR="003B1B1B" w:rsidRPr="005A0D2A" w:rsidRDefault="003B1B1B" w:rsidP="005A0D2A">
      <w:pPr>
        <w:spacing w:after="120"/>
      </w:pPr>
      <w:r w:rsidRPr="005A0D2A">
        <w:t>On 29</w:t>
      </w:r>
      <w:r w:rsidRPr="005A0D2A">
        <w:rPr>
          <w:vertAlign w:val="superscript"/>
        </w:rPr>
        <w:t>th</w:t>
      </w:r>
      <w:r w:rsidRPr="005A0D2A">
        <w:t xml:space="preserve"> May 2020, the Joffe Charitable Trust and the John Ellerman Foundation convened a roundtable for funders on UK tax reform. 14 funders participated (see Annex 1).</w:t>
      </w:r>
      <w:r w:rsidR="007A09ED" w:rsidRPr="005A0D2A">
        <w:t xml:space="preserve"> </w:t>
      </w:r>
      <w:r w:rsidRPr="005A0D2A">
        <w:t>The objectives of the roundtable were:</w:t>
      </w:r>
    </w:p>
    <w:p w14:paraId="3A562B3F" w14:textId="2E166109" w:rsidR="003B1B1B" w:rsidRPr="005A0D2A" w:rsidRDefault="005C68C0" w:rsidP="005A0D2A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tLeast"/>
        <w:ind w:left="714" w:hanging="357"/>
        <w:textAlignment w:val="baseline"/>
        <w:rPr>
          <w:rFonts w:eastAsiaTheme="minorEastAsia"/>
          <w:lang w:val="en-US"/>
        </w:rPr>
      </w:pPr>
      <w:r w:rsidRPr="005A0D2A">
        <w:rPr>
          <w:rFonts w:eastAsiaTheme="minorEastAsia"/>
          <w:lang w:val="en-US"/>
        </w:rPr>
        <w:t>To e</w:t>
      </w:r>
      <w:r w:rsidR="003B1B1B" w:rsidRPr="005A0D2A">
        <w:rPr>
          <w:rFonts w:eastAsiaTheme="minorEastAsia"/>
          <w:lang w:val="en-US"/>
        </w:rPr>
        <w:t>xplore the case for tax reform in the UK in the current context.</w:t>
      </w:r>
    </w:p>
    <w:p w14:paraId="16C5F0EC" w14:textId="1B20C034" w:rsidR="003B1B1B" w:rsidRPr="005A0D2A" w:rsidRDefault="005C68C0" w:rsidP="005A0D2A">
      <w:pPr>
        <w:pStyle w:val="ListParagraph"/>
        <w:numPr>
          <w:ilvl w:val="0"/>
          <w:numId w:val="2"/>
        </w:numPr>
        <w:spacing w:after="120"/>
        <w:ind w:left="714" w:hanging="357"/>
      </w:pPr>
      <w:r w:rsidRPr="005A0D2A">
        <w:t>To i</w:t>
      </w:r>
      <w:r w:rsidR="003B1B1B" w:rsidRPr="005A0D2A">
        <w:t>dentify common ground with funders’ strategic priorities.</w:t>
      </w:r>
    </w:p>
    <w:p w14:paraId="32F5176B" w14:textId="4B3CDD35" w:rsidR="00FE07EA" w:rsidRPr="005A0D2A" w:rsidRDefault="003B1B1B" w:rsidP="005A0D2A">
      <w:pPr>
        <w:spacing w:after="120"/>
      </w:pPr>
      <w:r w:rsidRPr="005A0D2A">
        <w:t xml:space="preserve">A short </w:t>
      </w:r>
      <w:hyperlink r:id="rId11" w:history="1">
        <w:r w:rsidRPr="005A0D2A">
          <w:rPr>
            <w:rStyle w:val="Hyperlink"/>
          </w:rPr>
          <w:t>briefing note</w:t>
        </w:r>
      </w:hyperlink>
      <w:bookmarkStart w:id="0" w:name="_GoBack"/>
      <w:bookmarkEnd w:id="0"/>
      <w:r w:rsidRPr="005A0D2A">
        <w:t xml:space="preserve"> was circulated in advance</w:t>
      </w:r>
      <w:r w:rsidR="007A09ED" w:rsidRPr="005A0D2A">
        <w:t xml:space="preserve">, </w:t>
      </w:r>
      <w:r w:rsidRPr="005A0D2A">
        <w:t>set</w:t>
      </w:r>
      <w:r w:rsidR="007A09ED" w:rsidRPr="005A0D2A">
        <w:t>ting out a strategic analysis of current priorities.</w:t>
      </w:r>
      <w:r w:rsidR="00AA0EA7" w:rsidRPr="005A0D2A">
        <w:t xml:space="preserve"> Participants </w:t>
      </w:r>
      <w:r w:rsidR="00107092" w:rsidRPr="005A0D2A">
        <w:t>were</w:t>
      </w:r>
      <w:r w:rsidR="00AA0EA7" w:rsidRPr="005A0D2A">
        <w:t xml:space="preserve"> particularly interested in </w:t>
      </w:r>
      <w:r w:rsidR="008E4B06">
        <w:t>the links between</w:t>
      </w:r>
      <w:r w:rsidR="00AA0EA7" w:rsidRPr="005A0D2A">
        <w:t xml:space="preserve"> tax justice </w:t>
      </w:r>
      <w:r w:rsidR="008E4B06">
        <w:t>and</w:t>
      </w:r>
      <w:r w:rsidR="00AA0EA7" w:rsidRPr="005A0D2A">
        <w:t xml:space="preserve"> wider work on economic, climate and social justice.</w:t>
      </w:r>
    </w:p>
    <w:p w14:paraId="446CF8C1" w14:textId="48C8B07C" w:rsidR="00107092" w:rsidRDefault="005C68C0" w:rsidP="005A0D2A">
      <w:pPr>
        <w:spacing w:after="120"/>
      </w:pPr>
      <w:r w:rsidRPr="005A0D2A">
        <w:t>At</w:t>
      </w:r>
      <w:r w:rsidR="00107092" w:rsidRPr="005A0D2A">
        <w:t xml:space="preserve"> the meeting, p</w:t>
      </w:r>
      <w:r w:rsidR="002E6B4F" w:rsidRPr="005A0D2A">
        <w:t xml:space="preserve">articipants recognised the key role of tax reform in tackling inequality and </w:t>
      </w:r>
      <w:r w:rsidR="007A09ED" w:rsidRPr="005A0D2A">
        <w:t xml:space="preserve">supporting </w:t>
      </w:r>
      <w:r w:rsidR="002E6B4F" w:rsidRPr="005A0D2A">
        <w:t xml:space="preserve">the just transition. They discussed the extraordinary opportunities and risks created by the current crisis. They started to identify practical steps to </w:t>
      </w:r>
      <w:r w:rsidR="008E4B06" w:rsidRPr="005A0D2A">
        <w:t>seize the opportunities</w:t>
      </w:r>
      <w:r w:rsidR="008E4B06">
        <w:t xml:space="preserve"> and </w:t>
      </w:r>
      <w:r w:rsidR="005A0D2A">
        <w:t>strengthen</w:t>
      </w:r>
      <w:r w:rsidR="002E6B4F" w:rsidRPr="005A0D2A">
        <w:t xml:space="preserve"> </w:t>
      </w:r>
      <w:r w:rsidRPr="005A0D2A">
        <w:t>alliances with other movements</w:t>
      </w:r>
      <w:r w:rsidR="002E6B4F" w:rsidRPr="005A0D2A">
        <w:t>.</w:t>
      </w:r>
    </w:p>
    <w:p w14:paraId="022FD2FA" w14:textId="77777777" w:rsidR="005A0D2A" w:rsidRPr="005A0D2A" w:rsidRDefault="005A0D2A" w:rsidP="005A0D2A">
      <w:pPr>
        <w:rPr>
          <w:sz w:val="12"/>
          <w:szCs w:val="12"/>
        </w:rPr>
      </w:pPr>
    </w:p>
    <w:p w14:paraId="5982B8F9" w14:textId="10027CB2" w:rsidR="003B1B1B" w:rsidRPr="005A0D2A" w:rsidRDefault="00107092" w:rsidP="005A0D2A">
      <w:pPr>
        <w:spacing w:after="120"/>
        <w:rPr>
          <w:b/>
        </w:rPr>
      </w:pPr>
      <w:r w:rsidRPr="005A0D2A">
        <w:rPr>
          <w:b/>
        </w:rPr>
        <w:t xml:space="preserve">2. </w:t>
      </w:r>
      <w:r w:rsidR="003B1B1B" w:rsidRPr="005A0D2A">
        <w:rPr>
          <w:b/>
        </w:rPr>
        <w:t>Presentations</w:t>
      </w:r>
    </w:p>
    <w:p w14:paraId="2B842F33" w14:textId="17398A9C" w:rsidR="003B1B1B" w:rsidRPr="005A0D2A" w:rsidRDefault="00107092" w:rsidP="005A0D2A">
      <w:pPr>
        <w:spacing w:after="120"/>
        <w:rPr>
          <w:i/>
        </w:rPr>
      </w:pPr>
      <w:r w:rsidRPr="005A0D2A">
        <w:rPr>
          <w:i/>
        </w:rPr>
        <w:t xml:space="preserve">2.1. </w:t>
      </w:r>
      <w:r w:rsidR="003B1B1B" w:rsidRPr="005A0D2A">
        <w:rPr>
          <w:i/>
        </w:rPr>
        <w:t>George Turner, Director</w:t>
      </w:r>
      <w:r w:rsidR="003D41A1" w:rsidRPr="005A0D2A">
        <w:rPr>
          <w:i/>
        </w:rPr>
        <w:t>,</w:t>
      </w:r>
      <w:r w:rsidR="003B1B1B" w:rsidRPr="005A0D2A">
        <w:rPr>
          <w:i/>
        </w:rPr>
        <w:t xml:space="preserve"> TaxWatch</w:t>
      </w:r>
      <w:r w:rsidR="008E4B06">
        <w:rPr>
          <w:i/>
        </w:rPr>
        <w:t>: The case for tax reform</w:t>
      </w:r>
    </w:p>
    <w:p w14:paraId="09137501" w14:textId="617FA9FC" w:rsidR="005C70D5" w:rsidRPr="005A0D2A" w:rsidRDefault="007A09ED" w:rsidP="005A0D2A">
      <w:pPr>
        <w:pStyle w:val="ListParagraph"/>
        <w:numPr>
          <w:ilvl w:val="0"/>
          <w:numId w:val="3"/>
        </w:numPr>
        <w:spacing w:after="120"/>
        <w:ind w:left="709" w:hanging="357"/>
      </w:pPr>
      <w:r w:rsidRPr="005A0D2A">
        <w:t>Due to the current crisis,</w:t>
      </w:r>
      <w:r w:rsidR="00FE07EA" w:rsidRPr="005A0D2A">
        <w:t xml:space="preserve"> the UK will have a serious debate about its tax system for the first time in 30 years.</w:t>
      </w:r>
      <w:r w:rsidR="00D63289" w:rsidRPr="005A0D2A">
        <w:t xml:space="preserve"> It is vital that civil society </w:t>
      </w:r>
      <w:r w:rsidRPr="005A0D2A">
        <w:t>can</w:t>
      </w:r>
      <w:r w:rsidR="00D63289" w:rsidRPr="005A0D2A">
        <w:t xml:space="preserve"> engage with this, bringing independent views in the public interest.</w:t>
      </w:r>
    </w:p>
    <w:p w14:paraId="4A7C67C4" w14:textId="4F886C2B" w:rsidR="00D63289" w:rsidRPr="005A0D2A" w:rsidRDefault="00D63289" w:rsidP="005A0D2A">
      <w:pPr>
        <w:pStyle w:val="ListParagraph"/>
        <w:numPr>
          <w:ilvl w:val="0"/>
          <w:numId w:val="3"/>
        </w:numPr>
        <w:spacing w:after="120"/>
        <w:ind w:left="709" w:hanging="357"/>
      </w:pPr>
      <w:r w:rsidRPr="005A0D2A">
        <w:t xml:space="preserve">On an international level, </w:t>
      </w:r>
      <w:r w:rsidR="007A09ED" w:rsidRPr="005A0D2A">
        <w:t>it is widely</w:t>
      </w:r>
      <w:r w:rsidRPr="005A0D2A">
        <w:t xml:space="preserve"> accept</w:t>
      </w:r>
      <w:r w:rsidR="007A09ED" w:rsidRPr="005A0D2A">
        <w:t>ed</w:t>
      </w:r>
      <w:r w:rsidRPr="005A0D2A">
        <w:t xml:space="preserve"> that reform is necessary to stop companies banking profits in tax havens. The UK has a central role </w:t>
      </w:r>
      <w:r w:rsidR="007A09ED" w:rsidRPr="005A0D2A">
        <w:t>to play</w:t>
      </w:r>
      <w:r w:rsidRPr="005A0D2A">
        <w:t>.</w:t>
      </w:r>
    </w:p>
    <w:p w14:paraId="21A59579" w14:textId="41BD7013" w:rsidR="00FE07EA" w:rsidRPr="005A0D2A" w:rsidRDefault="0009396F" w:rsidP="005A0D2A">
      <w:pPr>
        <w:pStyle w:val="ListParagraph"/>
        <w:numPr>
          <w:ilvl w:val="0"/>
          <w:numId w:val="3"/>
        </w:numPr>
        <w:spacing w:after="120"/>
        <w:ind w:left="709" w:hanging="357"/>
      </w:pPr>
      <w:r w:rsidRPr="005A0D2A">
        <w:t>Currently, a</w:t>
      </w:r>
      <w:r w:rsidR="005C70D5" w:rsidRPr="005A0D2A">
        <w:t>ccepted</w:t>
      </w:r>
      <w:r w:rsidR="00FE07EA" w:rsidRPr="005A0D2A">
        <w:t xml:space="preserve"> business practice includes many tax practices that could be seen as financial crime. </w:t>
      </w:r>
      <w:r w:rsidR="005C70D5" w:rsidRPr="005A0D2A">
        <w:t xml:space="preserve">It </w:t>
      </w:r>
      <w:r w:rsidR="00FE07EA" w:rsidRPr="005A0D2A">
        <w:t>i</w:t>
      </w:r>
      <w:r w:rsidR="005C70D5" w:rsidRPr="005A0D2A">
        <w:t xml:space="preserve">s due to </w:t>
      </w:r>
      <w:r w:rsidR="005C68C0" w:rsidRPr="005A0D2A">
        <w:t>HMRC’s</w:t>
      </w:r>
      <w:r w:rsidR="005C70D5" w:rsidRPr="005A0D2A">
        <w:t xml:space="preserve"> discretion that they are not.</w:t>
      </w:r>
    </w:p>
    <w:p w14:paraId="6863F4DB" w14:textId="77777777" w:rsidR="00FE07EA" w:rsidRPr="005A0D2A" w:rsidRDefault="00FE07EA" w:rsidP="005A0D2A">
      <w:pPr>
        <w:pStyle w:val="ListParagraph"/>
        <w:numPr>
          <w:ilvl w:val="0"/>
          <w:numId w:val="3"/>
        </w:numPr>
        <w:spacing w:after="120"/>
        <w:ind w:left="709" w:hanging="357"/>
      </w:pPr>
      <w:r w:rsidRPr="005A0D2A">
        <w:t>There is a great opportunity to accelerate progress now, more rapid</w:t>
      </w:r>
      <w:r w:rsidR="005C70D5" w:rsidRPr="005A0D2A">
        <w:t>ly</w:t>
      </w:r>
      <w:r w:rsidRPr="005A0D2A">
        <w:t xml:space="preserve"> than after the 2008 crash.</w:t>
      </w:r>
    </w:p>
    <w:p w14:paraId="383B8728" w14:textId="77777777" w:rsidR="005A0D2A" w:rsidRPr="005A0D2A" w:rsidRDefault="005A0D2A" w:rsidP="005A0D2A">
      <w:pPr>
        <w:rPr>
          <w:i/>
          <w:sz w:val="6"/>
          <w:szCs w:val="6"/>
        </w:rPr>
      </w:pPr>
    </w:p>
    <w:p w14:paraId="154B4D53" w14:textId="6959FDFB" w:rsidR="003B1B1B" w:rsidRPr="005A0D2A" w:rsidRDefault="00107092" w:rsidP="005A0D2A">
      <w:pPr>
        <w:spacing w:after="120"/>
        <w:rPr>
          <w:i/>
        </w:rPr>
      </w:pPr>
      <w:r w:rsidRPr="005A0D2A">
        <w:rPr>
          <w:i/>
        </w:rPr>
        <w:t>2.2.</w:t>
      </w:r>
      <w:r w:rsidR="003B1B1B" w:rsidRPr="005A0D2A">
        <w:rPr>
          <w:i/>
        </w:rPr>
        <w:t xml:space="preserve"> Robert Palmer, </w:t>
      </w:r>
      <w:r w:rsidR="003D41A1" w:rsidRPr="005A0D2A">
        <w:rPr>
          <w:i/>
        </w:rPr>
        <w:t xml:space="preserve">Executive </w:t>
      </w:r>
      <w:r w:rsidR="003B1B1B" w:rsidRPr="005A0D2A">
        <w:rPr>
          <w:i/>
        </w:rPr>
        <w:t>Director</w:t>
      </w:r>
      <w:r w:rsidR="003D41A1" w:rsidRPr="005A0D2A">
        <w:rPr>
          <w:i/>
        </w:rPr>
        <w:t>,</w:t>
      </w:r>
      <w:r w:rsidR="003B1B1B" w:rsidRPr="005A0D2A">
        <w:rPr>
          <w:i/>
        </w:rPr>
        <w:t xml:space="preserve"> Tax Justice UK</w:t>
      </w:r>
      <w:r w:rsidR="008E4B06">
        <w:rPr>
          <w:i/>
        </w:rPr>
        <w:t>: Strategic priorities</w:t>
      </w:r>
    </w:p>
    <w:p w14:paraId="04E22F84" w14:textId="562751EC" w:rsidR="003B1B1B" w:rsidRPr="005A0D2A" w:rsidRDefault="00FE07EA" w:rsidP="005A0D2A">
      <w:pPr>
        <w:pStyle w:val="ListParagraph"/>
        <w:numPr>
          <w:ilvl w:val="0"/>
          <w:numId w:val="5"/>
        </w:numPr>
        <w:spacing w:after="120"/>
        <w:ind w:left="709" w:hanging="357"/>
      </w:pPr>
      <w:r w:rsidRPr="005A0D2A">
        <w:t>The UK is facing a</w:t>
      </w:r>
      <w:r w:rsidR="005C70D5" w:rsidRPr="005A0D2A">
        <w:t xml:space="preserve"> critically</w:t>
      </w:r>
      <w:r w:rsidRPr="005A0D2A">
        <w:t xml:space="preserve"> important moment. On the one hand, there is opportunity for substantial tax reform as we start to ‘build back better’. On the other</w:t>
      </w:r>
      <w:r w:rsidR="008E4B06">
        <w:t xml:space="preserve"> hand</w:t>
      </w:r>
      <w:r w:rsidRPr="005A0D2A">
        <w:t xml:space="preserve">, a hard Brexit threatens new </w:t>
      </w:r>
      <w:r w:rsidR="005C68C0" w:rsidRPr="005A0D2A">
        <w:t xml:space="preserve">cuts to </w:t>
      </w:r>
      <w:r w:rsidRPr="005A0D2A">
        <w:t>regulations and taxes.</w:t>
      </w:r>
    </w:p>
    <w:p w14:paraId="74457D91" w14:textId="68D4902F" w:rsidR="0009396F" w:rsidRPr="005A0D2A" w:rsidRDefault="00D63289" w:rsidP="005A0D2A">
      <w:pPr>
        <w:pStyle w:val="ListParagraph"/>
        <w:numPr>
          <w:ilvl w:val="0"/>
          <w:numId w:val="5"/>
        </w:numPr>
        <w:spacing w:after="120"/>
        <w:ind w:left="709" w:hanging="357"/>
      </w:pPr>
      <w:r w:rsidRPr="005A0D2A">
        <w:t>The tax justice movement</w:t>
      </w:r>
      <w:r w:rsidR="0009396F" w:rsidRPr="005A0D2A">
        <w:t xml:space="preserve"> </w:t>
      </w:r>
      <w:r w:rsidRPr="005A0D2A">
        <w:t xml:space="preserve">aims to </w:t>
      </w:r>
      <w:r w:rsidR="00AA0EA7" w:rsidRPr="005A0D2A">
        <w:t>reform</w:t>
      </w:r>
      <w:r w:rsidR="0009396F" w:rsidRPr="005A0D2A">
        <w:t xml:space="preserve"> the tax system </w:t>
      </w:r>
      <w:r w:rsidRPr="005A0D2A">
        <w:t>so it</w:t>
      </w:r>
      <w:r w:rsidR="0009396F" w:rsidRPr="005A0D2A">
        <w:t xml:space="preserve"> raise</w:t>
      </w:r>
      <w:r w:rsidRPr="005A0D2A">
        <w:t>s</w:t>
      </w:r>
      <w:r w:rsidR="0009396F" w:rsidRPr="005A0D2A">
        <w:t xml:space="preserve"> revenue in a fair way that tackles inequality and s</w:t>
      </w:r>
      <w:r w:rsidRPr="005A0D2A">
        <w:t xml:space="preserve">upports a green transition. Specific </w:t>
      </w:r>
      <w:r w:rsidR="00AA0EA7" w:rsidRPr="005A0D2A">
        <w:t>policy proposals</w:t>
      </w:r>
      <w:r w:rsidR="008E4B06">
        <w:t xml:space="preserve"> (e.g. in the briefing note)</w:t>
      </w:r>
      <w:r w:rsidR="0009396F" w:rsidRPr="005A0D2A">
        <w:t xml:space="preserve"> ha</w:t>
      </w:r>
      <w:r w:rsidRPr="005A0D2A">
        <w:t>ve</w:t>
      </w:r>
      <w:r w:rsidR="0009396F" w:rsidRPr="005A0D2A">
        <w:t xml:space="preserve"> cross party support.</w:t>
      </w:r>
    </w:p>
    <w:p w14:paraId="28EF20BC" w14:textId="245B2755" w:rsidR="00FE07EA" w:rsidRPr="005A0D2A" w:rsidRDefault="00FE07EA" w:rsidP="005A0D2A">
      <w:pPr>
        <w:pStyle w:val="ListParagraph"/>
        <w:numPr>
          <w:ilvl w:val="0"/>
          <w:numId w:val="5"/>
        </w:numPr>
        <w:spacing w:after="120"/>
        <w:ind w:left="709" w:hanging="357"/>
      </w:pPr>
      <w:r w:rsidRPr="005A0D2A">
        <w:t>There is potential to influence the current government</w:t>
      </w:r>
      <w:r w:rsidR="00D63289" w:rsidRPr="005A0D2A">
        <w:t xml:space="preserve"> and help shape </w:t>
      </w:r>
      <w:r w:rsidR="00AA0EA7" w:rsidRPr="005A0D2A">
        <w:t>its</w:t>
      </w:r>
      <w:r w:rsidR="00D63289" w:rsidRPr="005A0D2A">
        <w:t xml:space="preserve"> ‘levelling up’ agenda. It</w:t>
      </w:r>
      <w:r w:rsidRPr="005A0D2A">
        <w:t xml:space="preserve"> can be enhanced by building alliances. </w:t>
      </w:r>
      <w:r w:rsidR="0009396F" w:rsidRPr="005A0D2A">
        <w:t xml:space="preserve">Next year’s COP presents an opportunity. </w:t>
      </w:r>
      <w:r w:rsidR="008E4B06">
        <w:t>T</w:t>
      </w:r>
      <w:r w:rsidRPr="005A0D2A">
        <w:t xml:space="preserve">he UK </w:t>
      </w:r>
      <w:r w:rsidR="008E4B06">
        <w:t xml:space="preserve">also </w:t>
      </w:r>
      <w:r w:rsidRPr="005A0D2A">
        <w:t>has an outsize international influence.</w:t>
      </w:r>
    </w:p>
    <w:p w14:paraId="78C785EA" w14:textId="77777777" w:rsidR="00FE07EA" w:rsidRPr="005A0D2A" w:rsidRDefault="00FE07EA" w:rsidP="005A0D2A">
      <w:pPr>
        <w:pStyle w:val="ListParagraph"/>
        <w:numPr>
          <w:ilvl w:val="0"/>
          <w:numId w:val="5"/>
        </w:numPr>
        <w:spacing w:after="120"/>
        <w:ind w:left="709"/>
        <w:contextualSpacing w:val="0"/>
      </w:pPr>
      <w:r w:rsidRPr="005A0D2A">
        <w:t>So there is all to play for.</w:t>
      </w:r>
    </w:p>
    <w:p w14:paraId="19695600" w14:textId="77777777" w:rsidR="003D41A1" w:rsidRPr="005A0D2A" w:rsidRDefault="003D41A1" w:rsidP="005A0D2A">
      <w:pPr>
        <w:rPr>
          <w:sz w:val="6"/>
          <w:szCs w:val="6"/>
        </w:rPr>
      </w:pPr>
    </w:p>
    <w:p w14:paraId="7914F85E" w14:textId="2191FB7F" w:rsidR="003B1B1B" w:rsidRPr="005A0D2A" w:rsidRDefault="00107092" w:rsidP="005A0D2A">
      <w:pPr>
        <w:spacing w:after="120"/>
        <w:rPr>
          <w:i/>
        </w:rPr>
      </w:pPr>
      <w:r w:rsidRPr="005A0D2A">
        <w:rPr>
          <w:i/>
        </w:rPr>
        <w:t>2.3.</w:t>
      </w:r>
      <w:r w:rsidR="003B1B1B" w:rsidRPr="005A0D2A">
        <w:rPr>
          <w:i/>
        </w:rPr>
        <w:t xml:space="preserve"> Paul Monaghan, </w:t>
      </w:r>
      <w:r w:rsidR="003D41A1" w:rsidRPr="005A0D2A">
        <w:rPr>
          <w:i/>
        </w:rPr>
        <w:t>Chief Executive, Fair Tax Mark</w:t>
      </w:r>
      <w:r w:rsidR="008E4B06">
        <w:rPr>
          <w:i/>
        </w:rPr>
        <w:t>: Engaging business &amp; investors</w:t>
      </w:r>
    </w:p>
    <w:p w14:paraId="34891B18" w14:textId="21159611" w:rsidR="005C70D5" w:rsidRPr="005A0D2A" w:rsidRDefault="005C70D5" w:rsidP="005A0D2A">
      <w:pPr>
        <w:pStyle w:val="ListParagraph"/>
        <w:numPr>
          <w:ilvl w:val="0"/>
          <w:numId w:val="6"/>
        </w:numPr>
        <w:spacing w:after="120"/>
        <w:ind w:left="709" w:hanging="357"/>
      </w:pPr>
      <w:r w:rsidRPr="005A0D2A">
        <w:t xml:space="preserve">The business &amp; investor community is split between those who still see tax </w:t>
      </w:r>
      <w:r w:rsidR="00AA0EA7" w:rsidRPr="005A0D2A">
        <w:t xml:space="preserve">only </w:t>
      </w:r>
      <w:r w:rsidRPr="005A0D2A">
        <w:t>as a</w:t>
      </w:r>
      <w:r w:rsidR="005C68C0" w:rsidRPr="005A0D2A">
        <w:t xml:space="preserve"> cost </w:t>
      </w:r>
      <w:r w:rsidRPr="005A0D2A">
        <w:t>to be minimised, and those who recognise that their success depends on meeting wider responsibilities to society.</w:t>
      </w:r>
    </w:p>
    <w:p w14:paraId="0AE145C2" w14:textId="160B1E2E" w:rsidR="003D41A1" w:rsidRPr="005A0D2A" w:rsidRDefault="005C70D5" w:rsidP="005A0D2A">
      <w:pPr>
        <w:pStyle w:val="ListParagraph"/>
        <w:numPr>
          <w:ilvl w:val="0"/>
          <w:numId w:val="6"/>
        </w:numPr>
        <w:spacing w:after="120"/>
        <w:ind w:left="709" w:hanging="357"/>
      </w:pPr>
      <w:r w:rsidRPr="005A0D2A">
        <w:lastRenderedPageBreak/>
        <w:t xml:space="preserve">Many business leaders are as angry as the general public about unethical practice. Investors increasingly recognise the financial and reputational risks of aggressive tax </w:t>
      </w:r>
      <w:r w:rsidR="005C68C0" w:rsidRPr="005A0D2A">
        <w:t>avoidance</w:t>
      </w:r>
      <w:r w:rsidRPr="005A0D2A">
        <w:t>.</w:t>
      </w:r>
    </w:p>
    <w:p w14:paraId="7F3DD560" w14:textId="77777777" w:rsidR="005C70D5" w:rsidRPr="005A0D2A" w:rsidRDefault="005C70D5" w:rsidP="005A0D2A">
      <w:pPr>
        <w:pStyle w:val="ListParagraph"/>
        <w:numPr>
          <w:ilvl w:val="0"/>
          <w:numId w:val="6"/>
        </w:numPr>
        <w:spacing w:after="120"/>
        <w:ind w:left="709" w:hanging="357"/>
      </w:pPr>
      <w:r w:rsidRPr="005A0D2A">
        <w:t>This split can be seen in the different approaches of listed companies and highly leveraged privately owned businesses.</w:t>
      </w:r>
    </w:p>
    <w:p w14:paraId="022FC308" w14:textId="42BC256A" w:rsidR="0009396F" w:rsidRPr="005A0D2A" w:rsidRDefault="0009396F" w:rsidP="005A0D2A">
      <w:pPr>
        <w:pStyle w:val="ListParagraph"/>
        <w:numPr>
          <w:ilvl w:val="0"/>
          <w:numId w:val="6"/>
        </w:numPr>
        <w:spacing w:after="120"/>
        <w:ind w:left="709" w:hanging="357"/>
      </w:pPr>
      <w:r w:rsidRPr="005A0D2A">
        <w:t xml:space="preserve">Companies could be </w:t>
      </w:r>
      <w:r w:rsidR="005C68C0" w:rsidRPr="005A0D2A">
        <w:t>encouraged</w:t>
      </w:r>
      <w:r w:rsidRPr="005A0D2A">
        <w:t xml:space="preserve"> to play a more vocal and joined up role in support of responsible business practice and tax justice. The next six months </w:t>
      </w:r>
      <w:r w:rsidR="00AA0EA7" w:rsidRPr="005A0D2A">
        <w:t>present</w:t>
      </w:r>
      <w:r w:rsidRPr="005A0D2A">
        <w:t xml:space="preserve"> a huge opportunity.</w:t>
      </w:r>
    </w:p>
    <w:p w14:paraId="238FE718" w14:textId="77777777" w:rsidR="00107092" w:rsidRPr="005A0D2A" w:rsidRDefault="00107092" w:rsidP="005A0D2A">
      <w:pPr>
        <w:rPr>
          <w:sz w:val="12"/>
          <w:szCs w:val="12"/>
        </w:rPr>
      </w:pPr>
    </w:p>
    <w:p w14:paraId="1211D34E" w14:textId="5EBCD62E" w:rsidR="00AB4D6A" w:rsidRPr="005A0D2A" w:rsidRDefault="00107092" w:rsidP="005A0D2A">
      <w:pPr>
        <w:spacing w:after="120"/>
        <w:rPr>
          <w:b/>
        </w:rPr>
      </w:pPr>
      <w:r w:rsidRPr="005A0D2A">
        <w:rPr>
          <w:b/>
        </w:rPr>
        <w:t xml:space="preserve">3. </w:t>
      </w:r>
      <w:r w:rsidR="00AB4D6A" w:rsidRPr="005A0D2A">
        <w:rPr>
          <w:b/>
        </w:rPr>
        <w:t>Discussion</w:t>
      </w:r>
    </w:p>
    <w:p w14:paraId="7869FAB8" w14:textId="009B0E0E" w:rsidR="008E4B06" w:rsidRDefault="008E4B06" w:rsidP="005A0D2A">
      <w:pPr>
        <w:pStyle w:val="ListParagraph"/>
        <w:numPr>
          <w:ilvl w:val="0"/>
          <w:numId w:val="7"/>
        </w:numPr>
        <w:spacing w:after="120"/>
        <w:ind w:left="714" w:hanging="357"/>
      </w:pPr>
      <w:r>
        <w:t xml:space="preserve">Participants </w:t>
      </w:r>
      <w:r w:rsidR="00671018">
        <w:t>had</w:t>
      </w:r>
      <w:r>
        <w:t xml:space="preserve"> a strong desire to seize the current opportunity for tax reform. They recognised the central links between tax justice and economic, social and climate justice.</w:t>
      </w:r>
    </w:p>
    <w:p w14:paraId="677143ED" w14:textId="5776D54D" w:rsidR="008E4B06" w:rsidRPr="005A0D2A" w:rsidRDefault="00AB4D6A" w:rsidP="008E4B06">
      <w:pPr>
        <w:pStyle w:val="ListParagraph"/>
        <w:numPr>
          <w:ilvl w:val="0"/>
          <w:numId w:val="7"/>
        </w:numPr>
        <w:spacing w:after="120"/>
        <w:ind w:left="714" w:hanging="357"/>
      </w:pPr>
      <w:r w:rsidRPr="005A0D2A">
        <w:t xml:space="preserve">Further austerity is politically untenable. </w:t>
      </w:r>
      <w:r w:rsidR="00AA0EA7" w:rsidRPr="005A0D2A">
        <w:t>The government is expected to live with historically high levels of debt</w:t>
      </w:r>
      <w:r w:rsidR="00671018">
        <w:t xml:space="preserve"> for the coming years</w:t>
      </w:r>
      <w:r w:rsidR="00AA0EA7" w:rsidRPr="005A0D2A">
        <w:t xml:space="preserve">. </w:t>
      </w:r>
      <w:r w:rsidR="008E4B06">
        <w:t>T</w:t>
      </w:r>
      <w:r w:rsidRPr="005A0D2A">
        <w:t>he debate about tax and spending</w:t>
      </w:r>
      <w:r w:rsidR="008E4B06">
        <w:t xml:space="preserve"> is already</w:t>
      </w:r>
      <w:r w:rsidRPr="005A0D2A">
        <w:t xml:space="preserve"> </w:t>
      </w:r>
      <w:r w:rsidR="00AA0EA7" w:rsidRPr="005A0D2A">
        <w:t xml:space="preserve">taking shape </w:t>
      </w:r>
      <w:r w:rsidRPr="005A0D2A">
        <w:t>within the Conservative party</w:t>
      </w:r>
      <w:r w:rsidR="005C68C0" w:rsidRPr="005A0D2A">
        <w:t xml:space="preserve"> with different arguments being presented from different wings</w:t>
      </w:r>
      <w:r w:rsidRPr="005A0D2A">
        <w:t>.</w:t>
      </w:r>
      <w:r w:rsidR="00AA0EA7" w:rsidRPr="005A0D2A">
        <w:t xml:space="preserve"> </w:t>
      </w:r>
    </w:p>
    <w:p w14:paraId="7F47B708" w14:textId="1DF23C42" w:rsidR="008E4B06" w:rsidRPr="005A0D2A" w:rsidRDefault="008E4B06" w:rsidP="008E4B06">
      <w:pPr>
        <w:pStyle w:val="ListParagraph"/>
        <w:numPr>
          <w:ilvl w:val="0"/>
          <w:numId w:val="7"/>
        </w:numPr>
        <w:spacing w:after="120"/>
        <w:ind w:left="714" w:hanging="357"/>
      </w:pPr>
      <w:r w:rsidRPr="005A0D2A">
        <w:t xml:space="preserve">Debates about tax and a new social contract are increasingly mainstream, </w:t>
      </w:r>
      <w:r>
        <w:t>e.g.</w:t>
      </w:r>
      <w:r w:rsidRPr="005A0D2A">
        <w:t xml:space="preserve"> in the </w:t>
      </w:r>
      <w:r>
        <w:t>Mail, Times and Financial Times as well as the Guardian.</w:t>
      </w:r>
    </w:p>
    <w:p w14:paraId="1C3EA346" w14:textId="29BB8AE7" w:rsidR="00AB4D6A" w:rsidRPr="005A0D2A" w:rsidRDefault="00AA0EA7" w:rsidP="008E4B06">
      <w:pPr>
        <w:pStyle w:val="ListParagraph"/>
        <w:numPr>
          <w:ilvl w:val="0"/>
          <w:numId w:val="7"/>
        </w:numPr>
        <w:spacing w:after="120"/>
        <w:ind w:left="714" w:hanging="357"/>
      </w:pPr>
      <w:r w:rsidRPr="005A0D2A">
        <w:t xml:space="preserve">Over the last year, the investor community has </w:t>
      </w:r>
      <w:r w:rsidR="008E4B06">
        <w:t>taken</w:t>
      </w:r>
      <w:r w:rsidRPr="005A0D2A">
        <w:t xml:space="preserve"> tax reform more seriously. But this is still ad hoc. There is great potential to bring investors and companies together more systematically.</w:t>
      </w:r>
      <w:r w:rsidR="008E4B06">
        <w:t xml:space="preserve"> It may be possible to use</w:t>
      </w:r>
      <w:r w:rsidRPr="005A0D2A">
        <w:t xml:space="preserve"> share</w:t>
      </w:r>
      <w:r w:rsidR="008E4B06">
        <w:t>holder</w:t>
      </w:r>
      <w:r w:rsidRPr="005A0D2A">
        <w:t xml:space="preserve"> activism to build pressure on comp</w:t>
      </w:r>
      <w:r w:rsidR="005C68C0" w:rsidRPr="005A0D2A">
        <w:t>anies, e.g. as ShareAction does.</w:t>
      </w:r>
    </w:p>
    <w:p w14:paraId="4CA1C102" w14:textId="04E1CDE0" w:rsidR="00AB4D6A" w:rsidRPr="005A0D2A" w:rsidRDefault="008E4B06" w:rsidP="005A0D2A">
      <w:pPr>
        <w:pStyle w:val="ListParagraph"/>
        <w:numPr>
          <w:ilvl w:val="0"/>
          <w:numId w:val="7"/>
        </w:numPr>
        <w:spacing w:after="120"/>
        <w:ind w:left="714" w:hanging="357"/>
      </w:pPr>
      <w:r>
        <w:t>The tax justice field is aware that it needs to become more diverse and has started to take action.</w:t>
      </w:r>
      <w:r w:rsidRPr="008E4B06">
        <w:t xml:space="preserve"> </w:t>
      </w:r>
      <w:r w:rsidRPr="005A0D2A">
        <w:t xml:space="preserve">The field </w:t>
      </w:r>
      <w:r w:rsidR="00701966">
        <w:t xml:space="preserve">also </w:t>
      </w:r>
      <w:r w:rsidRPr="005A0D2A">
        <w:t>lacks a popular movement now, unlike 2008 when Occupy, UK Uncut and others played this role.</w:t>
      </w:r>
    </w:p>
    <w:p w14:paraId="6283B5E5" w14:textId="00E9ADEB" w:rsidR="005C68C0" w:rsidRPr="005A0D2A" w:rsidRDefault="005C68C0" w:rsidP="005A0D2A">
      <w:pPr>
        <w:pStyle w:val="ListParagraph"/>
        <w:numPr>
          <w:ilvl w:val="0"/>
          <w:numId w:val="7"/>
        </w:numPr>
        <w:spacing w:after="120"/>
        <w:ind w:left="714" w:hanging="357"/>
      </w:pPr>
      <w:r w:rsidRPr="005A0D2A">
        <w:t>Behind the scenes influence will also be important, to engage with government.</w:t>
      </w:r>
    </w:p>
    <w:p w14:paraId="62A15B88" w14:textId="77777777" w:rsidR="00107092" w:rsidRPr="005A0D2A" w:rsidRDefault="00107092" w:rsidP="005A0D2A">
      <w:pPr>
        <w:rPr>
          <w:sz w:val="12"/>
          <w:szCs w:val="12"/>
        </w:rPr>
      </w:pPr>
    </w:p>
    <w:p w14:paraId="733B0934" w14:textId="2767DD92" w:rsidR="00AB4D6A" w:rsidRPr="005A0D2A" w:rsidRDefault="00107092" w:rsidP="005A0D2A">
      <w:pPr>
        <w:spacing w:after="120"/>
        <w:rPr>
          <w:b/>
        </w:rPr>
      </w:pPr>
      <w:r w:rsidRPr="005A0D2A">
        <w:rPr>
          <w:b/>
        </w:rPr>
        <w:t xml:space="preserve">4. </w:t>
      </w:r>
      <w:r w:rsidR="00AB4D6A" w:rsidRPr="005A0D2A">
        <w:rPr>
          <w:b/>
        </w:rPr>
        <w:t>Emerging themes</w:t>
      </w:r>
    </w:p>
    <w:p w14:paraId="222F8DC2" w14:textId="56AC03A7" w:rsidR="00D04183" w:rsidRPr="005A0D2A" w:rsidRDefault="00107092" w:rsidP="005A0D2A">
      <w:pPr>
        <w:spacing w:after="120"/>
        <w:rPr>
          <w:i/>
        </w:rPr>
      </w:pPr>
      <w:r w:rsidRPr="005A0D2A">
        <w:rPr>
          <w:i/>
        </w:rPr>
        <w:t>4.</w:t>
      </w:r>
      <w:r w:rsidR="00D04183" w:rsidRPr="005A0D2A">
        <w:rPr>
          <w:i/>
        </w:rPr>
        <w:t>1. Seizing the current political opportunity</w:t>
      </w:r>
    </w:p>
    <w:p w14:paraId="155E1D27" w14:textId="1FC1B790" w:rsidR="00D04183" w:rsidRPr="005A0D2A" w:rsidRDefault="00D04183" w:rsidP="005A0D2A">
      <w:pPr>
        <w:pStyle w:val="ListParagraph"/>
        <w:numPr>
          <w:ilvl w:val="0"/>
          <w:numId w:val="7"/>
        </w:numPr>
        <w:spacing w:after="120"/>
        <w:ind w:left="714" w:hanging="357"/>
      </w:pPr>
      <w:r w:rsidRPr="005A0D2A">
        <w:t>Could we build pressure rapidly by strengthening links with other civil society organisations</w:t>
      </w:r>
      <w:r w:rsidR="005C68C0" w:rsidRPr="005A0D2A">
        <w:t xml:space="preserve"> / movements</w:t>
      </w:r>
      <w:r w:rsidRPr="005A0D2A">
        <w:t xml:space="preserve">? </w:t>
      </w:r>
      <w:r w:rsidR="005A17DF" w:rsidRPr="005A0D2A">
        <w:t>E.g.</w:t>
      </w:r>
      <w:r w:rsidRPr="005A0D2A">
        <w:t xml:space="preserve"> make the case to them about the role of tax reform in achieving their objectives, such as funding public services</w:t>
      </w:r>
      <w:r w:rsidR="00C94E5C" w:rsidRPr="005A0D2A">
        <w:t xml:space="preserve"> and the green transition</w:t>
      </w:r>
      <w:r w:rsidRPr="005A0D2A">
        <w:t>. If other movements could lend their support to the tax justice movement now, that could make a decisive difference.</w:t>
      </w:r>
    </w:p>
    <w:p w14:paraId="56911431" w14:textId="437C9CF9" w:rsidR="00D04183" w:rsidRPr="005A0D2A" w:rsidRDefault="00D04183" w:rsidP="005A0D2A">
      <w:pPr>
        <w:pStyle w:val="ListParagraph"/>
        <w:numPr>
          <w:ilvl w:val="0"/>
          <w:numId w:val="7"/>
        </w:numPr>
        <w:spacing w:after="120"/>
        <w:ind w:left="714" w:hanging="357"/>
      </w:pPr>
      <w:r w:rsidRPr="005A0D2A">
        <w:t xml:space="preserve">Could we amplify messages like tax avoidance often being </w:t>
      </w:r>
      <w:r w:rsidR="00AA0EA7" w:rsidRPr="005A0D2A">
        <w:t>illegal or criminal</w:t>
      </w:r>
      <w:r w:rsidRPr="005A0D2A">
        <w:t>, to strengthen resolve in the Conservative party?</w:t>
      </w:r>
    </w:p>
    <w:p w14:paraId="0D6D43EF" w14:textId="78CFE40F" w:rsidR="005A0D2A" w:rsidRDefault="00D04183" w:rsidP="005A0D2A">
      <w:pPr>
        <w:pStyle w:val="ListParagraph"/>
        <w:numPr>
          <w:ilvl w:val="0"/>
          <w:numId w:val="7"/>
        </w:numPr>
        <w:ind w:left="714" w:hanging="357"/>
      </w:pPr>
      <w:r w:rsidRPr="005A0D2A">
        <w:t>Could we make the most of the influence gover</w:t>
      </w:r>
      <w:r w:rsidR="00AA0EA7" w:rsidRPr="005A0D2A">
        <w:t>nment currently has on business, e.g. on tax transparency &amp; practices?</w:t>
      </w:r>
    </w:p>
    <w:p w14:paraId="5BC85D5B" w14:textId="77777777" w:rsidR="005A0D2A" w:rsidRPr="005A0D2A" w:rsidRDefault="005A0D2A" w:rsidP="005A0D2A"/>
    <w:p w14:paraId="377594A1" w14:textId="582FFF96" w:rsidR="00D04183" w:rsidRPr="005A0D2A" w:rsidRDefault="00107092" w:rsidP="005A0D2A">
      <w:pPr>
        <w:spacing w:after="120"/>
        <w:rPr>
          <w:i/>
        </w:rPr>
      </w:pPr>
      <w:r w:rsidRPr="005A0D2A">
        <w:rPr>
          <w:i/>
        </w:rPr>
        <w:t>4.</w:t>
      </w:r>
      <w:r w:rsidR="00C94E5C" w:rsidRPr="005A0D2A">
        <w:rPr>
          <w:i/>
        </w:rPr>
        <w:t>2</w:t>
      </w:r>
      <w:r w:rsidR="00D04183" w:rsidRPr="005A0D2A">
        <w:rPr>
          <w:i/>
        </w:rPr>
        <w:t xml:space="preserve">. </w:t>
      </w:r>
      <w:r w:rsidRPr="005A0D2A">
        <w:rPr>
          <w:i/>
        </w:rPr>
        <w:t>The role of funders</w:t>
      </w:r>
    </w:p>
    <w:p w14:paraId="5F94395E" w14:textId="472CEED2" w:rsidR="00D04183" w:rsidRPr="005A0D2A" w:rsidRDefault="00D04183" w:rsidP="005A0D2A">
      <w:pPr>
        <w:pStyle w:val="ListParagraph"/>
        <w:numPr>
          <w:ilvl w:val="0"/>
          <w:numId w:val="7"/>
        </w:numPr>
        <w:spacing w:after="120"/>
        <w:ind w:left="714" w:hanging="357"/>
      </w:pPr>
      <w:r w:rsidRPr="005A0D2A">
        <w:t xml:space="preserve">Could funders </w:t>
      </w:r>
      <w:r w:rsidR="00C94E5C" w:rsidRPr="005A0D2A">
        <w:t xml:space="preserve">proactively </w:t>
      </w:r>
      <w:r w:rsidRPr="005A0D2A">
        <w:t xml:space="preserve">strengthen </w:t>
      </w:r>
      <w:r w:rsidR="005A17DF" w:rsidRPr="005A0D2A">
        <w:t xml:space="preserve">common narrative and </w:t>
      </w:r>
      <w:r w:rsidRPr="005A0D2A">
        <w:t>connections</w:t>
      </w:r>
      <w:r w:rsidR="005A17DF" w:rsidRPr="005A0D2A">
        <w:t xml:space="preserve"> </w:t>
      </w:r>
      <w:r w:rsidRPr="005A0D2A">
        <w:t>between the tax movement and other movements / civil society organisations?</w:t>
      </w:r>
    </w:p>
    <w:p w14:paraId="5D952256" w14:textId="42BAA8B4" w:rsidR="00D04183" w:rsidRPr="005A0D2A" w:rsidRDefault="00D04183" w:rsidP="005A0D2A">
      <w:pPr>
        <w:pStyle w:val="ListParagraph"/>
        <w:numPr>
          <w:ilvl w:val="0"/>
          <w:numId w:val="7"/>
        </w:numPr>
        <w:spacing w:after="120"/>
        <w:ind w:left="714" w:hanging="357"/>
      </w:pPr>
      <w:r w:rsidRPr="005A0D2A">
        <w:t>Could funders continue to stay in touch</w:t>
      </w:r>
      <w:r w:rsidR="008E4B06">
        <w:t xml:space="preserve"> with each other</w:t>
      </w:r>
      <w:r w:rsidRPr="005A0D2A">
        <w:t xml:space="preserve"> to exchange experiences and build common analysis?</w:t>
      </w:r>
    </w:p>
    <w:p w14:paraId="258C5AEE" w14:textId="2321777F" w:rsidR="00D04183" w:rsidRPr="005A0D2A" w:rsidRDefault="00AA0EA7" w:rsidP="005A0D2A">
      <w:pPr>
        <w:pStyle w:val="ListParagraph"/>
        <w:numPr>
          <w:ilvl w:val="0"/>
          <w:numId w:val="7"/>
        </w:numPr>
        <w:spacing w:after="120"/>
        <w:ind w:left="714" w:hanging="357"/>
      </w:pPr>
      <w:r w:rsidRPr="005A0D2A">
        <w:t>Could</w:t>
      </w:r>
      <w:r w:rsidR="00D04183" w:rsidRPr="005A0D2A">
        <w:t xml:space="preserve"> we learn from tax justice work in other countries, or other similar </w:t>
      </w:r>
      <w:r w:rsidR="005C68C0" w:rsidRPr="005A0D2A">
        <w:t>fields</w:t>
      </w:r>
      <w:r w:rsidR="00D04183" w:rsidRPr="005A0D2A">
        <w:t>?</w:t>
      </w:r>
    </w:p>
    <w:p w14:paraId="64125F54" w14:textId="32D5C435" w:rsidR="00107092" w:rsidRPr="005A0D2A" w:rsidRDefault="00107092" w:rsidP="008E4B06">
      <w:pPr>
        <w:spacing w:before="120" w:after="120"/>
      </w:pPr>
      <w:r w:rsidRPr="005A0D2A">
        <w:br w:type="page"/>
      </w:r>
    </w:p>
    <w:p w14:paraId="4C3C51EB" w14:textId="7DB41709" w:rsidR="00D04183" w:rsidRPr="005A0D2A" w:rsidRDefault="00107092" w:rsidP="005A0D2A">
      <w:pPr>
        <w:spacing w:after="120"/>
        <w:rPr>
          <w:b/>
        </w:rPr>
      </w:pPr>
      <w:r w:rsidRPr="005A0D2A">
        <w:rPr>
          <w:b/>
        </w:rPr>
        <w:lastRenderedPageBreak/>
        <w:t>Annex 1: Participants</w:t>
      </w:r>
    </w:p>
    <w:p w14:paraId="411F827B" w14:textId="77777777" w:rsidR="00107092" w:rsidRPr="005A0D2A" w:rsidRDefault="00107092" w:rsidP="005A0D2A">
      <w:pPr>
        <w:spacing w:after="120"/>
      </w:pP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4961"/>
      </w:tblGrid>
      <w:tr w:rsidR="00107092" w:rsidRPr="005A0D2A" w14:paraId="392EC07B" w14:textId="77777777" w:rsidTr="005A0D2A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B107E9E" w14:textId="77777777" w:rsidR="00107092" w:rsidRPr="005A0D2A" w:rsidRDefault="00107092" w:rsidP="005A0D2A">
            <w:pPr>
              <w:pStyle w:val="ListParagraph"/>
              <w:numPr>
                <w:ilvl w:val="0"/>
                <w:numId w:val="8"/>
              </w:numPr>
              <w:ind w:left="616" w:hanging="502"/>
            </w:pPr>
            <w:r w:rsidRPr="005A0D2A">
              <w:t>Alex Jacobs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2D67AB8" w14:textId="77777777" w:rsidR="00107092" w:rsidRPr="005A0D2A" w:rsidRDefault="00107092" w:rsidP="005A0D2A">
            <w:pPr>
              <w:contextualSpacing/>
              <w:rPr>
                <w:rFonts w:eastAsiaTheme="minorHAnsi"/>
                <w:lang w:val="en-GB"/>
              </w:rPr>
            </w:pPr>
            <w:r w:rsidRPr="005A0D2A">
              <w:rPr>
                <w:rFonts w:eastAsiaTheme="minorHAnsi"/>
                <w:lang w:val="en-GB"/>
              </w:rPr>
              <w:t>Joffe Charitable Trust</w:t>
            </w:r>
          </w:p>
        </w:tc>
      </w:tr>
      <w:tr w:rsidR="00107092" w:rsidRPr="005A0D2A" w14:paraId="267431E3" w14:textId="77777777" w:rsidTr="005A0D2A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519B0E24" w14:textId="77777777" w:rsidR="00107092" w:rsidRPr="005A0D2A" w:rsidRDefault="00107092" w:rsidP="005A0D2A">
            <w:pPr>
              <w:pStyle w:val="ListParagraph"/>
              <w:numPr>
                <w:ilvl w:val="0"/>
                <w:numId w:val="8"/>
              </w:numPr>
              <w:ind w:left="616" w:hanging="502"/>
            </w:pPr>
            <w:r w:rsidRPr="005A0D2A">
              <w:t>Alison Paton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47A64A7" w14:textId="77777777" w:rsidR="00107092" w:rsidRPr="005A0D2A" w:rsidRDefault="00107092" w:rsidP="005A0D2A">
            <w:pPr>
              <w:contextualSpacing/>
              <w:rPr>
                <w:rFonts w:eastAsiaTheme="minorHAnsi"/>
                <w:lang w:val="en-GB"/>
              </w:rPr>
            </w:pPr>
            <w:r w:rsidRPr="005A0D2A">
              <w:rPr>
                <w:rFonts w:eastAsiaTheme="minorHAnsi"/>
                <w:lang w:val="en-GB"/>
              </w:rPr>
              <w:t>Generation Foundation</w:t>
            </w:r>
          </w:p>
        </w:tc>
      </w:tr>
      <w:tr w:rsidR="00107092" w:rsidRPr="005A0D2A" w14:paraId="4B2EDB0B" w14:textId="77777777" w:rsidTr="005A0D2A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52AA956D" w14:textId="77777777" w:rsidR="00107092" w:rsidRPr="005A0D2A" w:rsidRDefault="00107092" w:rsidP="005A0D2A">
            <w:pPr>
              <w:pStyle w:val="ListParagraph"/>
              <w:numPr>
                <w:ilvl w:val="0"/>
                <w:numId w:val="8"/>
              </w:numPr>
              <w:ind w:left="616" w:hanging="502"/>
            </w:pPr>
            <w:r w:rsidRPr="005A0D2A">
              <w:t>Andrew Clarke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53346C5" w14:textId="77777777" w:rsidR="00107092" w:rsidRPr="005A0D2A" w:rsidRDefault="00107092" w:rsidP="005A0D2A">
            <w:pPr>
              <w:contextualSpacing/>
              <w:rPr>
                <w:rFonts w:eastAsiaTheme="minorHAnsi"/>
                <w:lang w:val="en-GB"/>
              </w:rPr>
            </w:pPr>
            <w:r w:rsidRPr="005A0D2A">
              <w:rPr>
                <w:rFonts w:eastAsiaTheme="minorHAnsi"/>
                <w:lang w:val="en-GB"/>
              </w:rPr>
              <w:t>Luminate</w:t>
            </w:r>
          </w:p>
        </w:tc>
      </w:tr>
      <w:tr w:rsidR="00107092" w:rsidRPr="005A0D2A" w14:paraId="51CFED6D" w14:textId="77777777" w:rsidTr="005A0D2A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5F9608FD" w14:textId="77777777" w:rsidR="00107092" w:rsidRPr="005A0D2A" w:rsidRDefault="00107092" w:rsidP="005A0D2A">
            <w:pPr>
              <w:pStyle w:val="ListParagraph"/>
              <w:numPr>
                <w:ilvl w:val="0"/>
                <w:numId w:val="8"/>
              </w:numPr>
              <w:ind w:left="616" w:hanging="502"/>
            </w:pPr>
            <w:r w:rsidRPr="005A0D2A">
              <w:t>Anna Watt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9E3C381" w14:textId="77777777" w:rsidR="00107092" w:rsidRPr="005A0D2A" w:rsidRDefault="00107092" w:rsidP="005A0D2A">
            <w:pPr>
              <w:contextualSpacing/>
              <w:rPr>
                <w:rFonts w:eastAsiaTheme="minorHAnsi"/>
                <w:lang w:val="en-GB"/>
              </w:rPr>
            </w:pPr>
            <w:r w:rsidRPr="005A0D2A">
              <w:rPr>
                <w:rFonts w:eastAsiaTheme="minorHAnsi"/>
                <w:lang w:val="en-GB"/>
              </w:rPr>
              <w:t>Laudes Foundation</w:t>
            </w:r>
          </w:p>
        </w:tc>
      </w:tr>
      <w:tr w:rsidR="00107092" w:rsidRPr="005A0D2A" w14:paraId="6A78766B" w14:textId="77777777" w:rsidTr="005A0D2A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30D445F7" w14:textId="77777777" w:rsidR="00107092" w:rsidRPr="005A0D2A" w:rsidRDefault="00107092" w:rsidP="005A0D2A">
            <w:pPr>
              <w:pStyle w:val="ListParagraph"/>
              <w:numPr>
                <w:ilvl w:val="0"/>
                <w:numId w:val="8"/>
              </w:numPr>
              <w:ind w:left="616" w:hanging="502"/>
            </w:pPr>
            <w:r w:rsidRPr="005A0D2A">
              <w:t>Anne Robbins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A8CE6A0" w14:textId="77777777" w:rsidR="00107092" w:rsidRPr="005A0D2A" w:rsidRDefault="00107092" w:rsidP="005A0D2A">
            <w:pPr>
              <w:contextualSpacing/>
              <w:rPr>
                <w:rFonts w:eastAsiaTheme="minorHAnsi"/>
                <w:lang w:val="en-GB"/>
              </w:rPr>
            </w:pPr>
            <w:r w:rsidRPr="005A0D2A">
              <w:rPr>
                <w:rFonts w:eastAsiaTheme="minorHAnsi"/>
                <w:lang w:val="en-GB"/>
              </w:rPr>
              <w:t>Network for Social Change</w:t>
            </w:r>
          </w:p>
        </w:tc>
      </w:tr>
      <w:tr w:rsidR="00107092" w:rsidRPr="005A0D2A" w14:paraId="4E06A4C7" w14:textId="77777777" w:rsidTr="005A0D2A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2A63CF19" w14:textId="77777777" w:rsidR="00107092" w:rsidRPr="005A0D2A" w:rsidRDefault="00107092" w:rsidP="005A0D2A">
            <w:pPr>
              <w:pStyle w:val="ListParagraph"/>
              <w:numPr>
                <w:ilvl w:val="0"/>
                <w:numId w:val="8"/>
              </w:numPr>
              <w:ind w:left="616" w:hanging="502"/>
            </w:pPr>
            <w:r w:rsidRPr="005A0D2A">
              <w:t>Helen Kersley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20CBEF5" w14:textId="77777777" w:rsidR="00107092" w:rsidRPr="005A0D2A" w:rsidRDefault="00107092" w:rsidP="005A0D2A">
            <w:pPr>
              <w:contextualSpacing/>
              <w:rPr>
                <w:rFonts w:eastAsiaTheme="minorHAnsi"/>
                <w:lang w:val="en-GB"/>
              </w:rPr>
            </w:pPr>
            <w:r w:rsidRPr="005A0D2A">
              <w:rPr>
                <w:rFonts w:eastAsiaTheme="minorHAnsi"/>
                <w:lang w:val="en-GB"/>
              </w:rPr>
              <w:t>Roddick Foundation</w:t>
            </w:r>
          </w:p>
        </w:tc>
      </w:tr>
      <w:tr w:rsidR="00107092" w:rsidRPr="005A0D2A" w14:paraId="5BA1339B" w14:textId="77777777" w:rsidTr="005A0D2A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6FEC5615" w14:textId="77777777" w:rsidR="00107092" w:rsidRPr="005A0D2A" w:rsidRDefault="00107092" w:rsidP="005A0D2A">
            <w:pPr>
              <w:pStyle w:val="ListParagraph"/>
              <w:numPr>
                <w:ilvl w:val="0"/>
                <w:numId w:val="8"/>
              </w:numPr>
              <w:ind w:left="616" w:hanging="502"/>
            </w:pPr>
            <w:r w:rsidRPr="005A0D2A">
              <w:t>Ieva Kajokaite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8AF6421" w14:textId="77777777" w:rsidR="00107092" w:rsidRPr="005A0D2A" w:rsidRDefault="00107092" w:rsidP="005A0D2A">
            <w:pPr>
              <w:contextualSpacing/>
              <w:rPr>
                <w:rFonts w:eastAsiaTheme="minorHAnsi"/>
                <w:lang w:val="en-GB"/>
              </w:rPr>
            </w:pPr>
            <w:r w:rsidRPr="005A0D2A">
              <w:rPr>
                <w:rFonts w:eastAsiaTheme="minorHAnsi"/>
                <w:lang w:val="en-GB"/>
              </w:rPr>
              <w:t>Funders Initiative for Civil Society</w:t>
            </w:r>
          </w:p>
        </w:tc>
      </w:tr>
      <w:tr w:rsidR="00107092" w:rsidRPr="005A0D2A" w14:paraId="139F3046" w14:textId="77777777" w:rsidTr="005A0D2A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5245B78B" w14:textId="77777777" w:rsidR="00107092" w:rsidRPr="005A0D2A" w:rsidRDefault="00107092" w:rsidP="005A0D2A">
            <w:pPr>
              <w:pStyle w:val="ListParagraph"/>
              <w:numPr>
                <w:ilvl w:val="0"/>
                <w:numId w:val="8"/>
              </w:numPr>
              <w:ind w:left="616" w:hanging="502"/>
            </w:pPr>
            <w:r w:rsidRPr="005A0D2A">
              <w:t>Jon Cracknell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79F4176" w14:textId="77777777" w:rsidR="00107092" w:rsidRPr="005A0D2A" w:rsidRDefault="00107092" w:rsidP="005A0D2A">
            <w:pPr>
              <w:contextualSpacing/>
              <w:rPr>
                <w:rFonts w:eastAsiaTheme="minorHAnsi"/>
                <w:lang w:val="en-GB"/>
              </w:rPr>
            </w:pPr>
            <w:r w:rsidRPr="005A0D2A">
              <w:rPr>
                <w:rFonts w:eastAsiaTheme="minorHAnsi"/>
                <w:lang w:val="en-GB"/>
              </w:rPr>
              <w:t>JMG philanthropy</w:t>
            </w:r>
          </w:p>
        </w:tc>
      </w:tr>
      <w:tr w:rsidR="00107092" w:rsidRPr="005A0D2A" w14:paraId="6EF58CB9" w14:textId="77777777" w:rsidTr="005A0D2A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5D0BB030" w14:textId="77777777" w:rsidR="00107092" w:rsidRPr="005A0D2A" w:rsidRDefault="00107092" w:rsidP="005A0D2A">
            <w:pPr>
              <w:pStyle w:val="ListParagraph"/>
              <w:numPr>
                <w:ilvl w:val="0"/>
                <w:numId w:val="8"/>
              </w:numPr>
              <w:ind w:left="616" w:hanging="502"/>
            </w:pPr>
            <w:r w:rsidRPr="005A0D2A">
              <w:t>Manny Hothi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4731B93" w14:textId="77777777" w:rsidR="00107092" w:rsidRPr="005A0D2A" w:rsidRDefault="00107092" w:rsidP="005A0D2A">
            <w:pPr>
              <w:contextualSpacing/>
              <w:rPr>
                <w:rFonts w:eastAsiaTheme="minorHAnsi"/>
                <w:lang w:val="en-GB"/>
              </w:rPr>
            </w:pPr>
            <w:r w:rsidRPr="005A0D2A">
              <w:rPr>
                <w:rFonts w:eastAsiaTheme="minorHAnsi"/>
                <w:lang w:val="en-GB"/>
              </w:rPr>
              <w:t>Trust for London</w:t>
            </w:r>
          </w:p>
        </w:tc>
      </w:tr>
      <w:tr w:rsidR="00107092" w:rsidRPr="005A0D2A" w14:paraId="02779CB4" w14:textId="77777777" w:rsidTr="005A0D2A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5D24897F" w14:textId="77777777" w:rsidR="00107092" w:rsidRPr="005A0D2A" w:rsidRDefault="00107092" w:rsidP="005A0D2A">
            <w:pPr>
              <w:pStyle w:val="ListParagraph"/>
              <w:numPr>
                <w:ilvl w:val="0"/>
                <w:numId w:val="8"/>
              </w:numPr>
              <w:ind w:left="616" w:hanging="502"/>
            </w:pPr>
            <w:r w:rsidRPr="005A0D2A">
              <w:t>Michael Jarvis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DBBA361" w14:textId="77777777" w:rsidR="00107092" w:rsidRPr="005A0D2A" w:rsidRDefault="00107092" w:rsidP="005A0D2A">
            <w:pPr>
              <w:contextualSpacing/>
              <w:rPr>
                <w:rFonts w:eastAsiaTheme="minorHAnsi"/>
                <w:lang w:val="en-GB"/>
              </w:rPr>
            </w:pPr>
            <w:r w:rsidRPr="005A0D2A">
              <w:rPr>
                <w:rFonts w:eastAsiaTheme="minorHAnsi"/>
                <w:lang w:val="en-GB"/>
              </w:rPr>
              <w:t>Transparency &amp; Accountability Initiative</w:t>
            </w:r>
          </w:p>
        </w:tc>
      </w:tr>
      <w:tr w:rsidR="00107092" w:rsidRPr="005A0D2A" w14:paraId="34CDEC17" w14:textId="77777777" w:rsidTr="005A0D2A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41C35E69" w14:textId="77777777" w:rsidR="00107092" w:rsidRPr="005A0D2A" w:rsidRDefault="00107092" w:rsidP="005A0D2A">
            <w:pPr>
              <w:pStyle w:val="ListParagraph"/>
              <w:numPr>
                <w:ilvl w:val="0"/>
                <w:numId w:val="8"/>
              </w:numPr>
              <w:ind w:left="616" w:hanging="502"/>
            </w:pPr>
            <w:r w:rsidRPr="005A0D2A">
              <w:t>Mubin Haq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F09C4C0" w14:textId="77777777" w:rsidR="00107092" w:rsidRPr="005A0D2A" w:rsidRDefault="00107092" w:rsidP="005A0D2A">
            <w:pPr>
              <w:contextualSpacing/>
              <w:rPr>
                <w:rFonts w:eastAsiaTheme="minorHAnsi"/>
                <w:lang w:val="en-GB"/>
              </w:rPr>
            </w:pPr>
            <w:r w:rsidRPr="005A0D2A">
              <w:rPr>
                <w:rFonts w:eastAsiaTheme="minorHAnsi"/>
                <w:lang w:val="en-GB"/>
              </w:rPr>
              <w:t>Standard Life Foundation</w:t>
            </w:r>
          </w:p>
        </w:tc>
      </w:tr>
      <w:tr w:rsidR="00107092" w:rsidRPr="005A0D2A" w14:paraId="37FC9BA3" w14:textId="77777777" w:rsidTr="005A0D2A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5AE70F63" w14:textId="77777777" w:rsidR="00107092" w:rsidRPr="005A0D2A" w:rsidRDefault="00107092" w:rsidP="005A0D2A">
            <w:pPr>
              <w:pStyle w:val="ListParagraph"/>
              <w:numPr>
                <w:ilvl w:val="0"/>
                <w:numId w:val="8"/>
              </w:numPr>
              <w:ind w:left="616" w:hanging="502"/>
            </w:pPr>
            <w:r w:rsidRPr="005A0D2A">
              <w:t>Savior Mwambwa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D462B6B" w14:textId="77777777" w:rsidR="00107092" w:rsidRPr="005A0D2A" w:rsidRDefault="00107092" w:rsidP="005A0D2A">
            <w:pPr>
              <w:contextualSpacing/>
              <w:rPr>
                <w:rFonts w:eastAsiaTheme="minorHAnsi"/>
                <w:lang w:val="en-GB"/>
              </w:rPr>
            </w:pPr>
            <w:r w:rsidRPr="005A0D2A">
              <w:rPr>
                <w:rFonts w:eastAsiaTheme="minorHAnsi"/>
                <w:lang w:val="en-GB"/>
              </w:rPr>
              <w:t>Open Society Foundation</w:t>
            </w:r>
          </w:p>
        </w:tc>
      </w:tr>
      <w:tr w:rsidR="00107092" w:rsidRPr="005A0D2A" w14:paraId="07DEC435" w14:textId="77777777" w:rsidTr="005A0D2A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0EB881D" w14:textId="77777777" w:rsidR="00107092" w:rsidRPr="005A0D2A" w:rsidRDefault="00107092" w:rsidP="005A0D2A">
            <w:pPr>
              <w:pStyle w:val="ListParagraph"/>
              <w:numPr>
                <w:ilvl w:val="0"/>
                <w:numId w:val="8"/>
              </w:numPr>
              <w:ind w:left="616" w:hanging="502"/>
            </w:pPr>
            <w:r w:rsidRPr="005A0D2A">
              <w:t>Sufina Ahmad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6D1C0D1" w14:textId="77777777" w:rsidR="00107092" w:rsidRPr="005A0D2A" w:rsidRDefault="00107092" w:rsidP="005A0D2A">
            <w:pPr>
              <w:contextualSpacing/>
              <w:rPr>
                <w:rFonts w:eastAsiaTheme="minorHAnsi"/>
                <w:lang w:val="en-GB"/>
              </w:rPr>
            </w:pPr>
            <w:r w:rsidRPr="005A0D2A">
              <w:rPr>
                <w:rFonts w:eastAsiaTheme="minorHAnsi"/>
                <w:lang w:val="en-GB"/>
              </w:rPr>
              <w:t>John Ellerman Foundation</w:t>
            </w:r>
          </w:p>
        </w:tc>
      </w:tr>
      <w:tr w:rsidR="00107092" w:rsidRPr="005A0D2A" w14:paraId="5ADF8B5E" w14:textId="77777777" w:rsidTr="005A0D2A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0819D42A" w14:textId="77777777" w:rsidR="00107092" w:rsidRPr="005A0D2A" w:rsidRDefault="00107092" w:rsidP="005A0D2A">
            <w:pPr>
              <w:pStyle w:val="ListParagraph"/>
              <w:numPr>
                <w:ilvl w:val="0"/>
                <w:numId w:val="8"/>
              </w:numPr>
              <w:ind w:left="616" w:hanging="502"/>
            </w:pPr>
            <w:r w:rsidRPr="005A0D2A">
              <w:t>Tom Schuller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1ECF77E" w14:textId="77777777" w:rsidR="00107092" w:rsidRPr="005A0D2A" w:rsidRDefault="00107092" w:rsidP="005A0D2A">
            <w:pPr>
              <w:contextualSpacing/>
              <w:rPr>
                <w:rFonts w:eastAsiaTheme="minorHAnsi"/>
                <w:lang w:val="en-GB"/>
              </w:rPr>
            </w:pPr>
            <w:r w:rsidRPr="005A0D2A">
              <w:rPr>
                <w:rFonts w:eastAsiaTheme="minorHAnsi"/>
                <w:lang w:val="en-GB"/>
              </w:rPr>
              <w:t>Network for Social Change</w:t>
            </w:r>
          </w:p>
        </w:tc>
      </w:tr>
    </w:tbl>
    <w:p w14:paraId="00E4BE5E" w14:textId="77777777" w:rsidR="00107092" w:rsidRPr="005A0D2A" w:rsidRDefault="00107092" w:rsidP="005A0D2A">
      <w:pPr>
        <w:spacing w:after="120"/>
      </w:pPr>
    </w:p>
    <w:p w14:paraId="4CF272E2" w14:textId="6E19430F" w:rsidR="00107092" w:rsidRPr="005A0D2A" w:rsidRDefault="00107092" w:rsidP="005A0D2A">
      <w:pPr>
        <w:spacing w:after="120"/>
      </w:pPr>
      <w:r w:rsidRPr="005A0D2A">
        <w:t>The roundtable was expertly facilitated by Rachael Clay and Jane Thurlow from Ethicore.</w:t>
      </w:r>
    </w:p>
    <w:sectPr w:rsidR="00107092" w:rsidRPr="005A0D2A" w:rsidSect="008E4B06">
      <w:footerReference w:type="even" r:id="rId12"/>
      <w:footerReference w:type="default" r:id="rId13"/>
      <w:pgSz w:w="11900" w:h="16840"/>
      <w:pgMar w:top="1440" w:right="1440" w:bottom="1276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852440" w15:done="0"/>
  <w15:commentEx w15:paraId="65C850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F5344" w16cex:dateUtc="2020-06-01T09:13:00Z"/>
  <w16cex:commentExtensible w16cex:durableId="227F5557" w16cex:dateUtc="2020-06-01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852440" w16cid:durableId="227F5344"/>
  <w16cid:commentId w16cid:paraId="65C85096" w16cid:durableId="227F555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91C4A" w14:textId="77777777" w:rsidR="008E4B06" w:rsidRDefault="008E4B06" w:rsidP="00107092">
      <w:r>
        <w:separator/>
      </w:r>
    </w:p>
  </w:endnote>
  <w:endnote w:type="continuationSeparator" w:id="0">
    <w:p w14:paraId="308041A1" w14:textId="77777777" w:rsidR="008E4B06" w:rsidRDefault="008E4B06" w:rsidP="001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3DAA4" w14:textId="77777777" w:rsidR="008E4B06" w:rsidRDefault="008E4B06" w:rsidP="001070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F393E" w14:textId="77777777" w:rsidR="008E4B06" w:rsidRDefault="008E4B06" w:rsidP="001070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975DE" w14:textId="77777777" w:rsidR="008E4B06" w:rsidRPr="00107092" w:rsidRDefault="008E4B06" w:rsidP="00107092">
    <w:pPr>
      <w:pStyle w:val="Footer"/>
      <w:framePr w:wrap="around" w:vAnchor="text" w:hAnchor="margin" w:xAlign="right" w:y="1"/>
      <w:rPr>
        <w:rStyle w:val="PageNumber"/>
        <w:sz w:val="20"/>
      </w:rPr>
    </w:pPr>
    <w:r w:rsidRPr="00107092">
      <w:rPr>
        <w:rStyle w:val="PageNumber"/>
        <w:sz w:val="20"/>
      </w:rPr>
      <w:fldChar w:fldCharType="begin"/>
    </w:r>
    <w:r w:rsidRPr="00107092">
      <w:rPr>
        <w:rStyle w:val="PageNumber"/>
        <w:sz w:val="20"/>
      </w:rPr>
      <w:instrText xml:space="preserve">PAGE  </w:instrText>
    </w:r>
    <w:r w:rsidRPr="00107092">
      <w:rPr>
        <w:rStyle w:val="PageNumber"/>
        <w:sz w:val="20"/>
      </w:rPr>
      <w:fldChar w:fldCharType="separate"/>
    </w:r>
    <w:r w:rsidR="002A36EB">
      <w:rPr>
        <w:rStyle w:val="PageNumber"/>
        <w:noProof/>
        <w:sz w:val="20"/>
      </w:rPr>
      <w:t>1</w:t>
    </w:r>
    <w:r w:rsidRPr="00107092">
      <w:rPr>
        <w:rStyle w:val="PageNumber"/>
        <w:sz w:val="20"/>
      </w:rPr>
      <w:fldChar w:fldCharType="end"/>
    </w:r>
  </w:p>
  <w:p w14:paraId="7823E808" w14:textId="77777777" w:rsidR="008E4B06" w:rsidRDefault="008E4B06" w:rsidP="00107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61516" w14:textId="77777777" w:rsidR="008E4B06" w:rsidRDefault="008E4B06" w:rsidP="00107092">
      <w:r>
        <w:separator/>
      </w:r>
    </w:p>
  </w:footnote>
  <w:footnote w:type="continuationSeparator" w:id="0">
    <w:p w14:paraId="2402C2BC" w14:textId="77777777" w:rsidR="008E4B06" w:rsidRDefault="008E4B06" w:rsidP="0010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445"/>
    <w:multiLevelType w:val="hybridMultilevel"/>
    <w:tmpl w:val="B8587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5795"/>
    <w:multiLevelType w:val="hybridMultilevel"/>
    <w:tmpl w:val="8F6C9A10"/>
    <w:lvl w:ilvl="0" w:tplc="71069408">
      <w:start w:val="2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D08F8"/>
    <w:multiLevelType w:val="hybridMultilevel"/>
    <w:tmpl w:val="A6FC9D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AE6557"/>
    <w:multiLevelType w:val="hybridMultilevel"/>
    <w:tmpl w:val="FA0C45C2"/>
    <w:lvl w:ilvl="0" w:tplc="71069408">
      <w:start w:val="2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F78"/>
    <w:multiLevelType w:val="hybridMultilevel"/>
    <w:tmpl w:val="9B6C23D4"/>
    <w:lvl w:ilvl="0" w:tplc="C2B2DA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31F20"/>
    <w:multiLevelType w:val="hybridMultilevel"/>
    <w:tmpl w:val="B2A266E6"/>
    <w:lvl w:ilvl="0" w:tplc="71069408">
      <w:start w:val="2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3050A"/>
    <w:multiLevelType w:val="hybridMultilevel"/>
    <w:tmpl w:val="DEA87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79A1"/>
    <w:multiLevelType w:val="hybridMultilevel"/>
    <w:tmpl w:val="7BF6112C"/>
    <w:lvl w:ilvl="0" w:tplc="710694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chael Clay">
    <w15:presenceInfo w15:providerId="AD" w15:userId="S::rclay@ethicore.net::368c6445-faca-47d2-9f3b-dc9410ddb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1B"/>
    <w:rsid w:val="00035EA8"/>
    <w:rsid w:val="0009396F"/>
    <w:rsid w:val="000B0A98"/>
    <w:rsid w:val="00107092"/>
    <w:rsid w:val="0014178A"/>
    <w:rsid w:val="0023233A"/>
    <w:rsid w:val="00241495"/>
    <w:rsid w:val="002A36EB"/>
    <w:rsid w:val="002D11B8"/>
    <w:rsid w:val="002E2318"/>
    <w:rsid w:val="002E6B4F"/>
    <w:rsid w:val="003B1B1B"/>
    <w:rsid w:val="003C0ABD"/>
    <w:rsid w:val="003D41A1"/>
    <w:rsid w:val="003F7F0A"/>
    <w:rsid w:val="00400864"/>
    <w:rsid w:val="004241BB"/>
    <w:rsid w:val="0048459A"/>
    <w:rsid w:val="00583285"/>
    <w:rsid w:val="0059492C"/>
    <w:rsid w:val="005A0D2A"/>
    <w:rsid w:val="005A17DF"/>
    <w:rsid w:val="005B1737"/>
    <w:rsid w:val="005C68C0"/>
    <w:rsid w:val="005C70D5"/>
    <w:rsid w:val="005E5DD4"/>
    <w:rsid w:val="00671018"/>
    <w:rsid w:val="006A2B1F"/>
    <w:rsid w:val="00701966"/>
    <w:rsid w:val="007373C1"/>
    <w:rsid w:val="007A09ED"/>
    <w:rsid w:val="007C73BA"/>
    <w:rsid w:val="007D6732"/>
    <w:rsid w:val="00867D28"/>
    <w:rsid w:val="0088095E"/>
    <w:rsid w:val="00896075"/>
    <w:rsid w:val="008D4D4B"/>
    <w:rsid w:val="008E4B06"/>
    <w:rsid w:val="00973346"/>
    <w:rsid w:val="0099163C"/>
    <w:rsid w:val="00A66C6D"/>
    <w:rsid w:val="00A66F9D"/>
    <w:rsid w:val="00AA0EA7"/>
    <w:rsid w:val="00AB4D6A"/>
    <w:rsid w:val="00B71C31"/>
    <w:rsid w:val="00B84768"/>
    <w:rsid w:val="00C94E5C"/>
    <w:rsid w:val="00D04183"/>
    <w:rsid w:val="00D11D2B"/>
    <w:rsid w:val="00D63289"/>
    <w:rsid w:val="00E41061"/>
    <w:rsid w:val="00F17BEB"/>
    <w:rsid w:val="00F37EFC"/>
    <w:rsid w:val="00F54C28"/>
    <w:rsid w:val="00FB3AB6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D5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B1B"/>
    <w:pPr>
      <w:ind w:left="720"/>
      <w:contextualSpacing/>
    </w:pPr>
    <w:rPr>
      <w:rFonts w:eastAsia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7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092"/>
  </w:style>
  <w:style w:type="character" w:styleId="PageNumber">
    <w:name w:val="page number"/>
    <w:basedOn w:val="DefaultParagraphFont"/>
    <w:uiPriority w:val="99"/>
    <w:semiHidden/>
    <w:unhideWhenUsed/>
    <w:rsid w:val="00107092"/>
  </w:style>
  <w:style w:type="paragraph" w:styleId="Header">
    <w:name w:val="header"/>
    <w:basedOn w:val="Normal"/>
    <w:link w:val="HeaderChar"/>
    <w:uiPriority w:val="99"/>
    <w:unhideWhenUsed/>
    <w:rsid w:val="00107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092"/>
  </w:style>
  <w:style w:type="character" w:styleId="Hyperlink">
    <w:name w:val="Hyperlink"/>
    <w:basedOn w:val="DefaultParagraphFont"/>
    <w:uiPriority w:val="99"/>
    <w:unhideWhenUsed/>
    <w:rsid w:val="005E5D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F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9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B1B"/>
    <w:pPr>
      <w:ind w:left="720"/>
      <w:contextualSpacing/>
    </w:pPr>
    <w:rPr>
      <w:rFonts w:eastAsia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7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092"/>
  </w:style>
  <w:style w:type="character" w:styleId="PageNumber">
    <w:name w:val="page number"/>
    <w:basedOn w:val="DefaultParagraphFont"/>
    <w:uiPriority w:val="99"/>
    <w:semiHidden/>
    <w:unhideWhenUsed/>
    <w:rsid w:val="00107092"/>
  </w:style>
  <w:style w:type="paragraph" w:styleId="Header">
    <w:name w:val="header"/>
    <w:basedOn w:val="Normal"/>
    <w:link w:val="HeaderChar"/>
    <w:uiPriority w:val="99"/>
    <w:unhideWhenUsed/>
    <w:rsid w:val="00107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092"/>
  </w:style>
  <w:style w:type="character" w:styleId="Hyperlink">
    <w:name w:val="Hyperlink"/>
    <w:basedOn w:val="DefaultParagraphFont"/>
    <w:uiPriority w:val="99"/>
    <w:unhideWhenUsed/>
    <w:rsid w:val="005E5D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F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joffetrust.org/tax-reform-briefing-note-may20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8/08/relationships/commentsExtensible" Target="commentsExtensible.xml"/><Relationship Id="rId17" Type="http://schemas.microsoft.com/office/2011/relationships/people" Target="people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8C25D7CD6914488788C9BA349035D" ma:contentTypeVersion="11" ma:contentTypeDescription="Create a new document." ma:contentTypeScope="" ma:versionID="498261a11c20ad6a053f413ec19a6c27">
  <xsd:schema xmlns:xsd="http://www.w3.org/2001/XMLSchema" xmlns:xs="http://www.w3.org/2001/XMLSchema" xmlns:p="http://schemas.microsoft.com/office/2006/metadata/properties" xmlns:ns2="b373bb51-421c-4f0c-bf08-03dec870cfab" xmlns:ns3="6de362aa-5329-4204-9bbd-de79a04827d9" targetNamespace="http://schemas.microsoft.com/office/2006/metadata/properties" ma:root="true" ma:fieldsID="a913b3693a19f64b748d848e0c55d7f6" ns2:_="" ns3:_="">
    <xsd:import namespace="b373bb51-421c-4f0c-bf08-03dec870cfab"/>
    <xsd:import namespace="6de362aa-5329-4204-9bbd-de79a0482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bb51-421c-4f0c-bf08-03dec870c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362aa-5329-4204-9bbd-de79a0482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11897-7AB0-4CCE-A8F0-F77CD987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3bb51-421c-4f0c-bf08-03dec870cfab"/>
    <ds:schemaRef ds:uri="6de362aa-5329-4204-9bbd-de79a0482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ED064-C4E1-43BB-81B1-3C745266E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7577B-6352-4735-AC02-EFF1FA8992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927</Words>
  <Characters>5289</Characters>
  <Application>Microsoft Macintosh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Jacobs</dc:creator>
  <cp:keywords/>
  <dc:description/>
  <cp:lastModifiedBy>Alex Jacobs</cp:lastModifiedBy>
  <cp:revision>5</cp:revision>
  <dcterms:created xsi:type="dcterms:W3CDTF">2020-06-02T08:38:00Z</dcterms:created>
  <dcterms:modified xsi:type="dcterms:W3CDTF">2020-06-19T08:03:00Z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0x010100CED8C25D7CD6914488788C9BA349035D</vt:lpwstr>
  </property>
</Properties>
</file>